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8B" w:rsidRDefault="00BD37AA" w:rsidP="0032608B">
      <w:pPr>
        <w:pStyle w:val="Puesto"/>
        <w:ind w:left="-539" w:right="-522"/>
        <w:rPr>
          <w:color w:val="000000"/>
          <w:spacing w:val="20"/>
        </w:rPr>
      </w:pPr>
      <w:r>
        <w:rPr>
          <w:color w:val="000000"/>
          <w:spacing w:val="20"/>
        </w:rPr>
        <w:t xml:space="preserve">  </w:t>
      </w:r>
      <w:r w:rsidR="0032608B">
        <w:rPr>
          <w:color w:val="000000"/>
          <w:spacing w:val="20"/>
        </w:rPr>
        <w:t>GRUPO DE POLÍTICA MONETARIA</w:t>
      </w:r>
    </w:p>
    <w:p w:rsidR="0032608B" w:rsidRDefault="0032608B" w:rsidP="0032608B">
      <w:pPr>
        <w:pStyle w:val="Puesto"/>
        <w:ind w:left="-539" w:right="-522"/>
        <w:rPr>
          <w:color w:val="808080"/>
        </w:rPr>
      </w:pPr>
      <w:r>
        <w:rPr>
          <w:color w:val="808080"/>
        </w:rPr>
        <w:t xml:space="preserve">Comunicado </w:t>
      </w:r>
      <w:r w:rsidR="004E1CEE">
        <w:rPr>
          <w:color w:val="808080"/>
        </w:rPr>
        <w:t>miércoles 17</w:t>
      </w:r>
      <w:r w:rsidR="00690B4D">
        <w:rPr>
          <w:color w:val="808080"/>
        </w:rPr>
        <w:t xml:space="preserve"> </w:t>
      </w:r>
      <w:r w:rsidR="004E1CEE">
        <w:rPr>
          <w:color w:val="808080"/>
        </w:rPr>
        <w:t>de mayo</w:t>
      </w:r>
      <w:r w:rsidR="00494054">
        <w:rPr>
          <w:color w:val="808080"/>
        </w:rPr>
        <w:t xml:space="preserve"> de 2017</w:t>
      </w:r>
    </w:p>
    <w:p w:rsidR="0032608B" w:rsidRPr="00C25D55" w:rsidRDefault="0032608B" w:rsidP="0032608B">
      <w:pPr>
        <w:jc w:val="center"/>
        <w:rPr>
          <w:rFonts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280670</wp:posOffset>
            </wp:positionV>
            <wp:extent cx="65151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537" y="21402"/>
                <wp:lineTo x="21537" y="0"/>
                <wp:lineTo x="0" y="0"/>
              </wp:wrapPolygon>
            </wp:wrapTight>
            <wp:docPr id="1" name="Imagen 1" descr="Descripción: Descripción: bannersin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bannersinfo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___________________________________________________________</w:t>
      </w:r>
      <w:r>
        <w:br/>
      </w:r>
      <w:r w:rsidRPr="00C25D55">
        <w:rPr>
          <w:rFonts w:cs="Times New Roman"/>
          <w:b/>
          <w:sz w:val="24"/>
          <w:szCs w:val="24"/>
        </w:rPr>
        <w:t xml:space="preserve">RAPHAEL BERGOEING, </w:t>
      </w:r>
      <w:r>
        <w:rPr>
          <w:rFonts w:cs="Times New Roman"/>
          <w:b/>
          <w:sz w:val="24"/>
          <w:szCs w:val="24"/>
        </w:rPr>
        <w:t xml:space="preserve">CARLOS BUDNEVICH,                                                                                       </w:t>
      </w:r>
      <w:r w:rsidRPr="00C25D55">
        <w:rPr>
          <w:rFonts w:cs="Times New Roman"/>
          <w:b/>
          <w:sz w:val="24"/>
          <w:szCs w:val="24"/>
        </w:rPr>
        <w:t>TOMÁS IZQUIERDO, GUILL</w:t>
      </w:r>
      <w:r>
        <w:rPr>
          <w:rFonts w:cs="Times New Roman"/>
          <w:b/>
          <w:sz w:val="24"/>
          <w:szCs w:val="24"/>
        </w:rPr>
        <w:t>ERMO LE FORT Y GONZALO SANHUEZA</w:t>
      </w:r>
    </w:p>
    <w:p w:rsidR="006300BF" w:rsidRDefault="004E1CEE" w:rsidP="00161976">
      <w:pPr>
        <w:jc w:val="both"/>
        <w:rPr>
          <w:b/>
        </w:rPr>
      </w:pPr>
      <w:r>
        <w:rPr>
          <w:b/>
        </w:rPr>
        <w:t>A nivel internacional, desde febrero de 2017, los precios del cobre y del petróleo han caído 6,3% y 8,1%, respectivamente. En cuanto a</w:t>
      </w:r>
      <w:r w:rsidR="006510CE">
        <w:rPr>
          <w:b/>
        </w:rPr>
        <w:t xml:space="preserve"> los costos de financiamiento,</w:t>
      </w:r>
      <w:r>
        <w:rPr>
          <w:b/>
        </w:rPr>
        <w:t xml:space="preserve"> los </w:t>
      </w:r>
      <w:proofErr w:type="spellStart"/>
      <w:r>
        <w:rPr>
          <w:b/>
        </w:rPr>
        <w:t>Treasu</w:t>
      </w:r>
      <w:r w:rsidR="006510CE">
        <w:rPr>
          <w:b/>
        </w:rPr>
        <w:t>ry</w:t>
      </w:r>
      <w:proofErr w:type="spellEnd"/>
      <w:r w:rsidR="006510CE">
        <w:rPr>
          <w:b/>
        </w:rPr>
        <w:t xml:space="preserve"> Bonds de Estados Unidos</w:t>
      </w:r>
      <w:r>
        <w:rPr>
          <w:b/>
        </w:rPr>
        <w:t xml:space="preserve"> se </w:t>
      </w:r>
      <w:r w:rsidR="005E1D1C">
        <w:rPr>
          <w:b/>
        </w:rPr>
        <w:t xml:space="preserve">transan </w:t>
      </w:r>
      <w:r>
        <w:rPr>
          <w:b/>
        </w:rPr>
        <w:t>actual</w:t>
      </w:r>
      <w:r w:rsidR="005E1D1C">
        <w:rPr>
          <w:b/>
        </w:rPr>
        <w:t>mente</w:t>
      </w:r>
      <w:r>
        <w:rPr>
          <w:b/>
        </w:rPr>
        <w:t xml:space="preserve"> </w:t>
      </w:r>
      <w:r w:rsidR="005E1D1C">
        <w:rPr>
          <w:b/>
        </w:rPr>
        <w:t>a</w:t>
      </w:r>
      <w:r>
        <w:rPr>
          <w:b/>
        </w:rPr>
        <w:t xml:space="preserve">l 2,29% anual, </w:t>
      </w:r>
      <w:r w:rsidR="005E1D1C">
        <w:rPr>
          <w:b/>
        </w:rPr>
        <w:t>por debajo de los</w:t>
      </w:r>
      <w:r>
        <w:rPr>
          <w:b/>
        </w:rPr>
        <w:t xml:space="preserve"> meses</w:t>
      </w:r>
      <w:r w:rsidR="005E1D1C">
        <w:rPr>
          <w:b/>
        </w:rPr>
        <w:t xml:space="preserve"> previos</w:t>
      </w:r>
      <w:r>
        <w:rPr>
          <w:b/>
        </w:rPr>
        <w:t xml:space="preserve">. </w:t>
      </w:r>
      <w:r w:rsidR="00161976" w:rsidRPr="00161976">
        <w:rPr>
          <w:b/>
        </w:rPr>
        <w:t xml:space="preserve">En el plano local, la actividad </w:t>
      </w:r>
      <w:r>
        <w:rPr>
          <w:b/>
        </w:rPr>
        <w:t>no minera crec</w:t>
      </w:r>
      <w:r w:rsidR="005E1D1C">
        <w:rPr>
          <w:b/>
        </w:rPr>
        <w:t xml:space="preserve">ió </w:t>
      </w:r>
      <w:r>
        <w:rPr>
          <w:b/>
        </w:rPr>
        <w:t>a</w:t>
      </w:r>
      <w:r w:rsidR="005E1D1C">
        <w:rPr>
          <w:b/>
        </w:rPr>
        <w:t>l</w:t>
      </w:r>
      <w:r>
        <w:rPr>
          <w:b/>
        </w:rPr>
        <w:t xml:space="preserve"> 2,2% en marzo, </w:t>
      </w:r>
      <w:r w:rsidR="005E1D1C">
        <w:rPr>
          <w:b/>
        </w:rPr>
        <w:t>sobre el</w:t>
      </w:r>
      <w:r>
        <w:rPr>
          <w:b/>
        </w:rPr>
        <w:t xml:space="preserve"> ritmo</w:t>
      </w:r>
      <w:r w:rsidR="005E1D1C">
        <w:rPr>
          <w:b/>
        </w:rPr>
        <w:t xml:space="preserve"> m</w:t>
      </w:r>
      <w:r w:rsidR="006510CE">
        <w:rPr>
          <w:b/>
        </w:rPr>
        <w:t xml:space="preserve">ostrado </w:t>
      </w:r>
      <w:r w:rsidR="005E1D1C">
        <w:rPr>
          <w:b/>
        </w:rPr>
        <w:t>recientemente, y en abril, debido a</w:t>
      </w:r>
      <w:r>
        <w:rPr>
          <w:b/>
        </w:rPr>
        <w:t>l cese de la huelga</w:t>
      </w:r>
      <w:r w:rsidR="005E1D1C">
        <w:rPr>
          <w:b/>
        </w:rPr>
        <w:t>,</w:t>
      </w:r>
      <w:r>
        <w:rPr>
          <w:b/>
        </w:rPr>
        <w:t xml:space="preserve"> desparece </w:t>
      </w:r>
      <w:r w:rsidR="005E1D1C">
        <w:rPr>
          <w:b/>
        </w:rPr>
        <w:t xml:space="preserve">su </w:t>
      </w:r>
      <w:r>
        <w:rPr>
          <w:b/>
        </w:rPr>
        <w:t xml:space="preserve">efecto negativo en la actividad minera.  </w:t>
      </w:r>
      <w:r w:rsidR="00161976" w:rsidRPr="00161976">
        <w:rPr>
          <w:b/>
        </w:rPr>
        <w:t>La in</w:t>
      </w:r>
      <w:r>
        <w:rPr>
          <w:b/>
        </w:rPr>
        <w:t>flación de los últimos meses se ha situado por de</w:t>
      </w:r>
      <w:r w:rsidR="00161976" w:rsidRPr="00161976">
        <w:rPr>
          <w:b/>
        </w:rPr>
        <w:t xml:space="preserve">bajo </w:t>
      </w:r>
      <w:r>
        <w:rPr>
          <w:b/>
        </w:rPr>
        <w:t xml:space="preserve">de </w:t>
      </w:r>
      <w:r w:rsidR="00161976" w:rsidRPr="00161976">
        <w:rPr>
          <w:b/>
        </w:rPr>
        <w:t>la meta del Banco Central.</w:t>
      </w:r>
      <w:r w:rsidR="00CF6E12">
        <w:rPr>
          <w:b/>
        </w:rPr>
        <w:t xml:space="preserve"> </w:t>
      </w:r>
      <w:r w:rsidR="006510CE">
        <w:rPr>
          <w:b/>
        </w:rPr>
        <w:t>El tipo de cambio se ha depreciado en forma acotada</w:t>
      </w:r>
      <w:r w:rsidR="00161976" w:rsidRPr="00161976">
        <w:rPr>
          <w:b/>
        </w:rPr>
        <w:t xml:space="preserve">. </w:t>
      </w:r>
      <w:r>
        <w:rPr>
          <w:b/>
        </w:rPr>
        <w:t xml:space="preserve">Sin embargo, los últimos datos de masa salarial y de inflación de no </w:t>
      </w:r>
      <w:proofErr w:type="gramStart"/>
      <w:r>
        <w:rPr>
          <w:b/>
        </w:rPr>
        <w:t>transables</w:t>
      </w:r>
      <w:proofErr w:type="gramEnd"/>
      <w:r>
        <w:rPr>
          <w:b/>
        </w:rPr>
        <w:t xml:space="preserve"> muestran un aumento respecto de meses anteriores. </w:t>
      </w:r>
      <w:r w:rsidR="00161976" w:rsidRPr="00161976">
        <w:rPr>
          <w:b/>
        </w:rPr>
        <w:t>Es por lo anterior que el Grupo de Polític</w:t>
      </w:r>
      <w:r>
        <w:rPr>
          <w:b/>
        </w:rPr>
        <w:t>a Monetaria recomienda</w:t>
      </w:r>
      <w:bookmarkStart w:id="0" w:name="_GoBack"/>
      <w:bookmarkEnd w:id="0"/>
      <w:r>
        <w:rPr>
          <w:b/>
        </w:rPr>
        <w:t xml:space="preserve"> mantener</w:t>
      </w:r>
      <w:r w:rsidR="00161976" w:rsidRPr="00161976">
        <w:rPr>
          <w:b/>
        </w:rPr>
        <w:t xml:space="preserve"> la Tasa de Política Monetaria en </w:t>
      </w:r>
      <w:r>
        <w:rPr>
          <w:b/>
        </w:rPr>
        <w:t xml:space="preserve">2,75% anual, </w:t>
      </w:r>
      <w:r w:rsidR="000E36AC">
        <w:rPr>
          <w:b/>
        </w:rPr>
        <w:t>con un voto de minoría, por reducir la tasa en 25 puntos base.</w:t>
      </w:r>
    </w:p>
    <w:p w:rsidR="006300BF" w:rsidRDefault="004E1CEE" w:rsidP="00161976">
      <w:pPr>
        <w:jc w:val="both"/>
      </w:pPr>
      <w:r>
        <w:t>Si bien e</w:t>
      </w:r>
      <w:r w:rsidR="006300BF">
        <w:t xml:space="preserve">l entorno externo se mantiene </w:t>
      </w:r>
      <w:r>
        <w:t xml:space="preserve">relativamente </w:t>
      </w:r>
      <w:r w:rsidR="006300BF">
        <w:t xml:space="preserve">favorable; el crecimiento </w:t>
      </w:r>
      <w:r w:rsidR="00AA66C4">
        <w:t xml:space="preserve">anual </w:t>
      </w:r>
      <w:r>
        <w:t>en el primer trimestre de 2017 de Estados Unidos y la Eurozona dejó de acelerarse</w:t>
      </w:r>
      <w:r w:rsidR="00AA66C4">
        <w:t xml:space="preserve"> (</w:t>
      </w:r>
      <w:r w:rsidR="0090086E">
        <w:t>1,9% y 1,7%, respectivamente)</w:t>
      </w:r>
      <w:r w:rsidR="006300BF">
        <w:t xml:space="preserve">. </w:t>
      </w:r>
      <w:r w:rsidR="0090086E">
        <w:t>L</w:t>
      </w:r>
      <w:r w:rsidR="006300BF">
        <w:t xml:space="preserve">a creación de empleo en EE.UU </w:t>
      </w:r>
      <w:r w:rsidR="0090086E">
        <w:t>mostró cifras favorables en abril.</w:t>
      </w:r>
      <w:r w:rsidR="00085D62">
        <w:t xml:space="preserve"> </w:t>
      </w:r>
      <w:r w:rsidR="001D2491">
        <w:t>La inflación anual</w:t>
      </w:r>
      <w:r w:rsidR="0090086E">
        <w:t xml:space="preserve"> ha retrocedido, ubicándose en 2</w:t>
      </w:r>
      <w:r w:rsidR="005E1D1C">
        <w:t>,</w:t>
      </w:r>
      <w:r w:rsidR="000F2EE0">
        <w:t>2</w:t>
      </w:r>
      <w:r w:rsidR="0090086E">
        <w:t xml:space="preserve">% en </w:t>
      </w:r>
      <w:r w:rsidR="000F2EE0">
        <w:t>abril</w:t>
      </w:r>
      <w:r w:rsidR="0090086E">
        <w:t xml:space="preserve"> y</w:t>
      </w:r>
      <w:r w:rsidR="006510CE">
        <w:t xml:space="preserve"> </w:t>
      </w:r>
      <w:r w:rsidR="005E1D1C">
        <w:t xml:space="preserve">1,9 </w:t>
      </w:r>
      <w:r w:rsidR="006510CE">
        <w:t xml:space="preserve">% </w:t>
      </w:r>
      <w:r w:rsidR="005E1D1C">
        <w:t>para</w:t>
      </w:r>
      <w:r w:rsidR="006510CE">
        <w:t xml:space="preserve"> la inflación</w:t>
      </w:r>
      <w:r w:rsidR="0090086E">
        <w:t xml:space="preserve"> que excluye alimentos y energía</w:t>
      </w:r>
      <w:r w:rsidR="006510CE">
        <w:t>.  Análogamente</w:t>
      </w:r>
      <w:r w:rsidR="001D2491">
        <w:t xml:space="preserve">, el crecimiento de Europa </w:t>
      </w:r>
      <w:r w:rsidR="006510CE">
        <w:t>en el primer trimestre de 2017 se mantuvo</w:t>
      </w:r>
      <w:r w:rsidR="007A2638">
        <w:t xml:space="preserve"> estable</w:t>
      </w:r>
      <w:r w:rsidR="0090086E">
        <w:t>. Sin embargo, la inflación total y la que excluye alimentos y energía se aceleró, lleg</w:t>
      </w:r>
      <w:r w:rsidR="00A641AF">
        <w:t>ando en abril a 1,9</w:t>
      </w:r>
      <w:r w:rsidR="0090086E">
        <w:t>%</w:t>
      </w:r>
      <w:r w:rsidR="00A641AF">
        <w:t xml:space="preserve"> y 1,2</w:t>
      </w:r>
      <w:r w:rsidR="0090086E">
        <w:t>%, respectivamente</w:t>
      </w:r>
      <w:r w:rsidR="001D2491">
        <w:t xml:space="preserve">. </w:t>
      </w:r>
      <w:r w:rsidR="00F76089">
        <w:t xml:space="preserve">En Francia, la elección de </w:t>
      </w:r>
      <w:proofErr w:type="spellStart"/>
      <w:r w:rsidR="00F76089">
        <w:t>Macron</w:t>
      </w:r>
      <w:proofErr w:type="spellEnd"/>
      <w:r w:rsidR="00F76089">
        <w:t xml:space="preserve"> como Presidente ha permitido que los mercados se comporten de manera normal. En el primer trimestre de 2017,</w:t>
      </w:r>
      <w:r w:rsidR="007A2638">
        <w:t xml:space="preserve"> el crecimiento del producto </w:t>
      </w:r>
      <w:r w:rsidR="005E1D1C">
        <w:t>chino se situó en un 6,</w:t>
      </w:r>
      <w:r w:rsidR="00F76089">
        <w:t>9</w:t>
      </w:r>
      <w:r w:rsidR="00357323">
        <w:t>%, alcanzando su mayor ritmo de expansión desde el tercer trimestre de 2015</w:t>
      </w:r>
      <w:r w:rsidR="007A2638">
        <w:t>.</w:t>
      </w:r>
    </w:p>
    <w:p w:rsidR="007A2638" w:rsidRDefault="007A2638" w:rsidP="00161976">
      <w:pPr>
        <w:jc w:val="both"/>
      </w:pPr>
      <w:r>
        <w:t>En Chile, la variación mensual</w:t>
      </w:r>
      <w:r w:rsidR="00EF076A">
        <w:t xml:space="preserve"> de la inflación</w:t>
      </w:r>
      <w:r>
        <w:t xml:space="preserve"> fue de </w:t>
      </w:r>
      <w:r w:rsidR="005E1D1C">
        <w:t>0,</w:t>
      </w:r>
      <w:r w:rsidR="00357323">
        <w:t>2% en abril</w:t>
      </w:r>
      <w:r w:rsidR="00F214B6">
        <w:t>, coincidiendo con</w:t>
      </w:r>
      <w:r w:rsidR="00801166">
        <w:t xml:space="preserve"> </w:t>
      </w:r>
      <w:r w:rsidR="00EF076A">
        <w:t>las expectativas económicas del mercado. L</w:t>
      </w:r>
      <w:r w:rsidR="005E1D1C">
        <w:t>a inflación anual se ubicó en 2,</w:t>
      </w:r>
      <w:r w:rsidR="00EF076A">
        <w:t>7%, bajo la meta del Banco Central, mientras que los indicadores subyacentes han caíd</w:t>
      </w:r>
      <w:r w:rsidR="005E1D1C">
        <w:t>o levemente (IPCX 2,2%, IPX1 2,</w:t>
      </w:r>
      <w:r w:rsidR="00535692">
        <w:t>2</w:t>
      </w:r>
      <w:r w:rsidR="00EF076A">
        <w:t>% y</w:t>
      </w:r>
      <w:r w:rsidR="005E1D1C">
        <w:t xml:space="preserve"> IPC SAE 2,</w:t>
      </w:r>
      <w:r w:rsidR="00535692">
        <w:t>1</w:t>
      </w:r>
      <w:r w:rsidR="009D6B58">
        <w:t>%).</w:t>
      </w:r>
      <w:r w:rsidR="00535692">
        <w:t xml:space="preserve"> Sin embargo, la inflación anual de no transables aumentó de 3,3% en marzo a 3,5% en abril. Las expectativas</w:t>
      </w:r>
      <w:r w:rsidR="009D6B58">
        <w:t xml:space="preserve"> de in</w:t>
      </w:r>
      <w:r w:rsidR="00535692">
        <w:t>flación de los operadores financieros</w:t>
      </w:r>
      <w:r w:rsidR="009D6B58">
        <w:t xml:space="preserve"> </w:t>
      </w:r>
      <w:r w:rsidR="00535692">
        <w:t>en 12 meses más</w:t>
      </w:r>
      <w:r w:rsidR="00690B4D">
        <w:t xml:space="preserve"> </w:t>
      </w:r>
      <w:r w:rsidR="00535692">
        <w:t xml:space="preserve">se sitúan en 2,62% </w:t>
      </w:r>
      <w:r w:rsidR="009D6B58">
        <w:t>%</w:t>
      </w:r>
      <w:r w:rsidR="00535692">
        <w:t xml:space="preserve">, mientras </w:t>
      </w:r>
      <w:r w:rsidR="00F214B6">
        <w:t xml:space="preserve">que </w:t>
      </w:r>
      <w:r w:rsidR="00CF6E12">
        <w:t>la</w:t>
      </w:r>
      <w:r w:rsidR="00F214B6">
        <w:t>s</w:t>
      </w:r>
      <w:r w:rsidR="004B51D3">
        <w:t xml:space="preserve"> expectativas económica</w:t>
      </w:r>
      <w:r w:rsidR="00F214B6">
        <w:t>s respecto a</w:t>
      </w:r>
      <w:r w:rsidR="004B51D3">
        <w:t xml:space="preserve"> la inflación </w:t>
      </w:r>
      <w:r w:rsidR="00F214B6">
        <w:t xml:space="preserve">se sitúan </w:t>
      </w:r>
      <w:r w:rsidR="004B51D3">
        <w:t>en</w:t>
      </w:r>
      <w:r w:rsidR="005E1D1C">
        <w:t xml:space="preserve"> un 2,</w:t>
      </w:r>
      <w:r w:rsidR="009D6B58">
        <w:t>9%</w:t>
      </w:r>
      <w:r w:rsidR="004B51D3">
        <w:t xml:space="preserve"> en el 2017</w:t>
      </w:r>
      <w:r w:rsidR="009D6B58">
        <w:t>.</w:t>
      </w:r>
    </w:p>
    <w:p w:rsidR="00A45114" w:rsidRDefault="004B51D3" w:rsidP="00161976">
      <w:pPr>
        <w:jc w:val="both"/>
      </w:pPr>
      <w:r>
        <w:lastRenderedPageBreak/>
        <w:t xml:space="preserve">El </w:t>
      </w:r>
      <w:proofErr w:type="spellStart"/>
      <w:r>
        <w:t>Imacec</w:t>
      </w:r>
      <w:proofErr w:type="spellEnd"/>
      <w:r>
        <w:t xml:space="preserve"> de marz</w:t>
      </w:r>
      <w:r w:rsidR="00B85CF1">
        <w:t>o</w:t>
      </w:r>
      <w:r>
        <w:t>, mostró una expansión</w:t>
      </w:r>
      <w:r w:rsidR="005E1D1C">
        <w:t xml:space="preserve"> de 0,</w:t>
      </w:r>
      <w:r w:rsidR="00CC41A3">
        <w:t>2</w:t>
      </w:r>
      <w:r w:rsidR="00F214B6">
        <w:t>%</w:t>
      </w:r>
      <w:r w:rsidR="00B85CF1">
        <w:t xml:space="preserve"> en doce meses</w:t>
      </w:r>
      <w:r w:rsidR="00302D3C">
        <w:t>, algo por sobre</w:t>
      </w:r>
      <w:r w:rsidR="00B85CF1">
        <w:t xml:space="preserve"> lo esperado por las expectativas económicas. El </w:t>
      </w:r>
      <w:proofErr w:type="spellStart"/>
      <w:r w:rsidR="00B85CF1">
        <w:t>Imacec</w:t>
      </w:r>
      <w:proofErr w:type="spellEnd"/>
      <w:r w:rsidR="00B85CF1">
        <w:t xml:space="preserve"> minero</w:t>
      </w:r>
      <w:r w:rsidR="00302D3C">
        <w:t xml:space="preserve"> experimentó una contracción de 22.7</w:t>
      </w:r>
      <w:r w:rsidR="00B85CF1">
        <w:t>%</w:t>
      </w:r>
      <w:r w:rsidR="006C6EFA">
        <w:t xml:space="preserve"> anual</w:t>
      </w:r>
      <w:r w:rsidR="00B85CF1">
        <w:t>, influe</w:t>
      </w:r>
      <w:r w:rsidR="00DA13BE">
        <w:t>nciada en gran parte por la huelga de</w:t>
      </w:r>
      <w:r w:rsidR="00B85CF1">
        <w:t xml:space="preserve"> la mina La Escondida.</w:t>
      </w:r>
      <w:r w:rsidR="006C6EFA">
        <w:t xml:space="preserve"> El </w:t>
      </w:r>
      <w:proofErr w:type="spellStart"/>
      <w:r w:rsidR="006C6EFA">
        <w:t>Imace</w:t>
      </w:r>
      <w:r w:rsidR="00302D3C">
        <w:t>c</w:t>
      </w:r>
      <w:proofErr w:type="spellEnd"/>
      <w:r w:rsidR="00302D3C">
        <w:t xml:space="preserve"> no minero experimentó un crecimiento </w:t>
      </w:r>
      <w:r w:rsidR="00DA13BE">
        <w:t xml:space="preserve">anual </w:t>
      </w:r>
      <w:r w:rsidR="00302D3C">
        <w:t>de 2</w:t>
      </w:r>
      <w:r w:rsidR="005E1D1C">
        <w:t>,</w:t>
      </w:r>
      <w:r w:rsidR="006C6EFA">
        <w:t xml:space="preserve">2%. </w:t>
      </w:r>
      <w:r w:rsidR="00302D3C">
        <w:t xml:space="preserve">Para el mes de abril, </w:t>
      </w:r>
      <w:r w:rsidR="006C6EFA">
        <w:t xml:space="preserve">las expectativas económicas anticipan un </w:t>
      </w:r>
      <w:r w:rsidR="00302D3C">
        <w:t xml:space="preserve">crecimiento del </w:t>
      </w:r>
      <w:proofErr w:type="spellStart"/>
      <w:r w:rsidR="00302D3C">
        <w:t>Imacec</w:t>
      </w:r>
      <w:proofErr w:type="spellEnd"/>
      <w:r w:rsidR="00302D3C">
        <w:t xml:space="preserve"> de 0%, mientras que para mayo se espera crecer un 1%</w:t>
      </w:r>
      <w:r w:rsidR="006C6EFA">
        <w:t>.</w:t>
      </w:r>
      <w:r w:rsidR="00A45114">
        <w:t xml:space="preserve"> Un indicador adelantado de la actividad como es el crecimiento de las colocaciones comerciales del sistema bancario, muestra una aceleración en su crecimiento en meses recientes de cerca de 1,2%. </w:t>
      </w:r>
    </w:p>
    <w:p w:rsidR="006C6EFA" w:rsidRDefault="00DA13BE" w:rsidP="00161976">
      <w:pPr>
        <w:jc w:val="both"/>
      </w:pPr>
      <w:r>
        <w:t>En el ámbito de las</w:t>
      </w:r>
      <w:r w:rsidR="00E640B0">
        <w:t xml:space="preserve"> expectativas</w:t>
      </w:r>
      <w:r>
        <w:t>, éstas</w:t>
      </w:r>
      <w:r w:rsidR="00E640B0">
        <w:t xml:space="preserve"> siguen </w:t>
      </w:r>
      <w:r w:rsidR="00EC0E69">
        <w:t>en un terreno pesimista. El IPEC se ubicó en 40,1 puntos en abril, por sobre lo mostrado en los meses previos de 2017</w:t>
      </w:r>
      <w:r w:rsidR="00E640B0">
        <w:t>.</w:t>
      </w:r>
      <w:r w:rsidR="00EC0E69">
        <w:t xml:space="preserve"> Sus principales compo</w:t>
      </w:r>
      <w:r>
        <w:t>nentes también se han movido al alza</w:t>
      </w:r>
      <w:r w:rsidR="00EC0E69">
        <w:t>. Por su parte</w:t>
      </w:r>
      <w:r w:rsidR="00E640B0">
        <w:t>, el IMCE bajó</w:t>
      </w:r>
      <w:r w:rsidR="00EC0E69">
        <w:t xml:space="preserve"> a 44,1 en abril, influido por las expecta</w:t>
      </w:r>
      <w:r>
        <w:t>tivas del sector industrial y del sector</w:t>
      </w:r>
      <w:r w:rsidR="00EC0E69">
        <w:t xml:space="preserve"> construcción. No obstant</w:t>
      </w:r>
      <w:r>
        <w:t>e lo anterior, los sectores comercio y minería</w:t>
      </w:r>
      <w:r w:rsidR="00EC0E69">
        <w:t xml:space="preserve"> han venido mejorando sus expectativas, situándose ambos actualmente en terreno optimista</w:t>
      </w:r>
      <w:r w:rsidR="00E640B0">
        <w:t>.</w:t>
      </w:r>
    </w:p>
    <w:p w:rsidR="00EC0E69" w:rsidRDefault="00EC0E69" w:rsidP="00161976">
      <w:pPr>
        <w:jc w:val="both"/>
      </w:pPr>
      <w:r>
        <w:t>Los indicadores de ventas e importaciones de bienes de consumo en general han mostrado un crecimiento relevante desde fines del año 2</w:t>
      </w:r>
      <w:r w:rsidR="005D3675">
        <w:t>016. Por otra parte, la inversión no muestra</w:t>
      </w:r>
      <w:r w:rsidR="00DA13BE">
        <w:t xml:space="preserve"> señales de recuperación. En efecto,</w:t>
      </w:r>
      <w:r>
        <w:t xml:space="preserve"> las importaciones de bienes de capital continúan contrayéndose persistentemente.  </w:t>
      </w:r>
    </w:p>
    <w:p w:rsidR="00FA755C" w:rsidRDefault="004923C4" w:rsidP="00161976">
      <w:pPr>
        <w:jc w:val="both"/>
      </w:pPr>
      <w:r>
        <w:t>La t</w:t>
      </w:r>
      <w:r w:rsidR="005D3675">
        <w:t>asa de desempleo se ubicó en 6.</w:t>
      </w:r>
      <w:r w:rsidR="00330B8A">
        <w:t>6% en marzo, un aumento de 0,3</w:t>
      </w:r>
      <w:r w:rsidR="005D3675">
        <w:t>% respecto de igual mes del 2016</w:t>
      </w:r>
      <w:r>
        <w:t xml:space="preserve">. </w:t>
      </w:r>
      <w:r w:rsidR="00330B8A">
        <w:t>En marzo, el crecimiento del</w:t>
      </w:r>
      <w:r w:rsidR="00DA13BE">
        <w:t xml:space="preserve"> empleo volvió a retomar fuerza</w:t>
      </w:r>
      <w:r w:rsidR="00330B8A">
        <w:t>, situándose en un crecimiento anual de 1,5%, cifras que no se observaban desde noviembre del año pasado. A su vez, las remuneraciones reales crecieron en el año 1,5% en marzo, por sobre el 1,4% de febrero de este año. Con todo, en marzo, el crecimiento anual de la masa salarial</w:t>
      </w:r>
      <w:r w:rsidR="00DA13BE">
        <w:t xml:space="preserve"> alcanzó</w:t>
      </w:r>
      <w:r w:rsidR="00330B8A">
        <w:t xml:space="preserve"> un 3%, cifra similar a la observada a fines del año pasado.</w:t>
      </w:r>
    </w:p>
    <w:p w:rsidR="00FA755C" w:rsidRDefault="00DA13BE" w:rsidP="00161976">
      <w:pPr>
        <w:jc w:val="both"/>
      </w:pPr>
      <w:r>
        <w:t xml:space="preserve">Respecto de la política monetaria, </w:t>
      </w:r>
      <w:r w:rsidR="00A609BF">
        <w:t xml:space="preserve"> encuestas </w:t>
      </w:r>
      <w:r>
        <w:t xml:space="preserve">recientes </w:t>
      </w:r>
      <w:r w:rsidR="00A609BF">
        <w:t>indican que se espera</w:t>
      </w:r>
      <w:r w:rsidR="00FA755C">
        <w:t xml:space="preserve"> </w:t>
      </w:r>
      <w:r w:rsidR="00281250">
        <w:t>una disminución de la TPM en los próximos meses, p</w:t>
      </w:r>
      <w:r w:rsidR="0073791A">
        <w:t>ara terminar el año en 2,5%</w:t>
      </w:r>
      <w:r w:rsidR="00281250">
        <w:t xml:space="preserve">. </w:t>
      </w:r>
      <w:r w:rsidR="00BE259D">
        <w:t>Por su parte, el tipo de cambio se ha depreciado</w:t>
      </w:r>
      <w:r w:rsidR="00FA755C">
        <w:t xml:space="preserve"> desde que se efectuó la última reunión de polític</w:t>
      </w:r>
      <w:r w:rsidR="00BE259D">
        <w:t xml:space="preserve">a monetaria, lo que se explica </w:t>
      </w:r>
      <w:r w:rsidR="005E1D1C">
        <w:t>en parte por</w:t>
      </w:r>
      <w:r w:rsidR="00BE259D">
        <w:t xml:space="preserve"> reducción de la TPM y por la disminución en</w:t>
      </w:r>
      <w:r w:rsidR="00FA755C">
        <w:t xml:space="preserve"> e</w:t>
      </w:r>
      <w:r w:rsidR="00BE259D">
        <w:t>l precio del cobre</w:t>
      </w:r>
      <w:r w:rsidR="00FA755C">
        <w:t>.</w:t>
      </w:r>
    </w:p>
    <w:p w:rsidR="000E36AC" w:rsidRDefault="0089129B" w:rsidP="000E36AC">
      <w:pPr>
        <w:jc w:val="both"/>
        <w:rPr>
          <w:b/>
        </w:rPr>
      </w:pPr>
      <w:r w:rsidRPr="0089129B">
        <w:rPr>
          <w:b/>
        </w:rPr>
        <w:t xml:space="preserve">En </w:t>
      </w:r>
      <w:r w:rsidR="00FA7A67">
        <w:rPr>
          <w:b/>
        </w:rPr>
        <w:t xml:space="preserve">este contexto, </w:t>
      </w:r>
      <w:r w:rsidR="000E36AC" w:rsidRPr="00161976">
        <w:rPr>
          <w:b/>
        </w:rPr>
        <w:t>el Grupo de Polític</w:t>
      </w:r>
      <w:r w:rsidR="000E36AC">
        <w:rPr>
          <w:b/>
        </w:rPr>
        <w:t>a Monetaria recomienda, mantener</w:t>
      </w:r>
      <w:r w:rsidR="000E36AC" w:rsidRPr="00161976">
        <w:rPr>
          <w:b/>
        </w:rPr>
        <w:t xml:space="preserve"> la Tasa de Política Monetaria en </w:t>
      </w:r>
      <w:r w:rsidR="000E36AC">
        <w:rPr>
          <w:b/>
        </w:rPr>
        <w:t>2,75% anual, con un voto de minoría, por reducir la tasa en 25 puntos base.</w:t>
      </w:r>
    </w:p>
    <w:p w:rsidR="00161976" w:rsidRDefault="00161976" w:rsidP="00161976">
      <w:pPr>
        <w:jc w:val="both"/>
        <w:rPr>
          <w:b/>
        </w:rPr>
      </w:pPr>
    </w:p>
    <w:p w:rsidR="00161976" w:rsidRPr="00161976" w:rsidRDefault="00161976" w:rsidP="00161976">
      <w:pPr>
        <w:jc w:val="both"/>
      </w:pPr>
    </w:p>
    <w:sectPr w:rsidR="00161976" w:rsidRPr="00161976" w:rsidSect="003E56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8B"/>
    <w:rsid w:val="00040B6B"/>
    <w:rsid w:val="00063A7F"/>
    <w:rsid w:val="00067274"/>
    <w:rsid w:val="00085D62"/>
    <w:rsid w:val="000B5307"/>
    <w:rsid w:val="000E10A0"/>
    <w:rsid w:val="000E36AC"/>
    <w:rsid w:val="000F2EE0"/>
    <w:rsid w:val="00130175"/>
    <w:rsid w:val="00161976"/>
    <w:rsid w:val="001D2491"/>
    <w:rsid w:val="001E1386"/>
    <w:rsid w:val="00281250"/>
    <w:rsid w:val="00302D3C"/>
    <w:rsid w:val="0032608B"/>
    <w:rsid w:val="00330B8A"/>
    <w:rsid w:val="00357323"/>
    <w:rsid w:val="003E5622"/>
    <w:rsid w:val="00451034"/>
    <w:rsid w:val="004923C4"/>
    <w:rsid w:val="00494054"/>
    <w:rsid w:val="004B51D3"/>
    <w:rsid w:val="004E1CEE"/>
    <w:rsid w:val="00535692"/>
    <w:rsid w:val="005633C9"/>
    <w:rsid w:val="005D3675"/>
    <w:rsid w:val="005E1D1C"/>
    <w:rsid w:val="006300BF"/>
    <w:rsid w:val="00635023"/>
    <w:rsid w:val="006510CE"/>
    <w:rsid w:val="006832FB"/>
    <w:rsid w:val="00690B4D"/>
    <w:rsid w:val="006C6EFA"/>
    <w:rsid w:val="0073791A"/>
    <w:rsid w:val="007A2638"/>
    <w:rsid w:val="00801166"/>
    <w:rsid w:val="0089129B"/>
    <w:rsid w:val="0090086E"/>
    <w:rsid w:val="009D6B58"/>
    <w:rsid w:val="00A45114"/>
    <w:rsid w:val="00A609BF"/>
    <w:rsid w:val="00A641AF"/>
    <w:rsid w:val="00AA66C4"/>
    <w:rsid w:val="00AB61FC"/>
    <w:rsid w:val="00AE2454"/>
    <w:rsid w:val="00B85CF1"/>
    <w:rsid w:val="00B914A9"/>
    <w:rsid w:val="00BD37AA"/>
    <w:rsid w:val="00BE259D"/>
    <w:rsid w:val="00CC41A3"/>
    <w:rsid w:val="00CF6E12"/>
    <w:rsid w:val="00DA13BE"/>
    <w:rsid w:val="00E640B0"/>
    <w:rsid w:val="00EC0E69"/>
    <w:rsid w:val="00EF076A"/>
    <w:rsid w:val="00F214B6"/>
    <w:rsid w:val="00F76089"/>
    <w:rsid w:val="00FA755C"/>
    <w:rsid w:val="00FA7A67"/>
    <w:rsid w:val="00FE4207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A134DF8-F4F5-4E1A-9243-9F9C47A1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08B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3260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32608B"/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B4D"/>
    <w:rPr>
      <w:rFonts w:ascii="Segoe UI" w:eastAsiaTheme="minorEastAsia" w:hAnsi="Segoe UI" w:cs="Segoe UI"/>
      <w:sz w:val="18"/>
      <w:szCs w:val="1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Muñoz</dc:creator>
  <cp:lastModifiedBy>Auditorios FEN</cp:lastModifiedBy>
  <cp:revision>2</cp:revision>
  <cp:lastPrinted>2017-04-11T20:08:00Z</cp:lastPrinted>
  <dcterms:created xsi:type="dcterms:W3CDTF">2017-05-17T14:54:00Z</dcterms:created>
  <dcterms:modified xsi:type="dcterms:W3CDTF">2017-05-17T14:54:00Z</dcterms:modified>
</cp:coreProperties>
</file>