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6F5E" w14:textId="77777777" w:rsidR="005C5715" w:rsidRPr="004E590D" w:rsidRDefault="005C5715" w:rsidP="005C5715">
      <w:pPr>
        <w:pStyle w:val="Ttulo"/>
        <w:ind w:left="-539" w:right="-522"/>
        <w:jc w:val="center"/>
        <w:rPr>
          <w:rFonts w:ascii="Times New Roman" w:hAnsi="Times New Roman" w:cs="Times New Roman"/>
          <w:b/>
          <w:bCs/>
          <w:color w:val="000000"/>
          <w:spacing w:val="20"/>
          <w:sz w:val="32"/>
          <w:szCs w:val="32"/>
          <w:lang w:val="es-ES_tradnl"/>
        </w:rPr>
      </w:pPr>
      <w:r w:rsidRPr="004148CF">
        <w:rPr>
          <w:rFonts w:ascii="Times New Roman" w:hAnsi="Times New Roman" w:cs="Times New Roman"/>
          <w:b/>
          <w:bCs/>
          <w:color w:val="000000"/>
          <w:spacing w:val="20"/>
          <w:sz w:val="32"/>
          <w:szCs w:val="32"/>
        </w:rPr>
        <w:t>GRUPO DE POLÍTICA MONETARIA</w:t>
      </w:r>
    </w:p>
    <w:p w14:paraId="3F053AD2" w14:textId="71202B3D" w:rsidR="005C5715" w:rsidRPr="004148CF" w:rsidRDefault="005C5715" w:rsidP="005C5715">
      <w:pPr>
        <w:pStyle w:val="Ttulo"/>
        <w:ind w:left="-539" w:right="-522"/>
        <w:jc w:val="center"/>
        <w:rPr>
          <w:rFonts w:ascii="Times New Roman" w:hAnsi="Times New Roman" w:cs="Times New Roman"/>
          <w:b/>
          <w:bCs/>
          <w:color w:val="808080"/>
          <w:sz w:val="32"/>
          <w:szCs w:val="32"/>
        </w:rPr>
      </w:pPr>
      <w:r w:rsidRPr="004148CF">
        <w:rPr>
          <w:rFonts w:ascii="Times New Roman" w:hAnsi="Times New Roman" w:cs="Times New Roman"/>
          <w:b/>
          <w:bCs/>
          <w:color w:val="808080"/>
          <w:sz w:val="32"/>
          <w:szCs w:val="32"/>
        </w:rPr>
        <w:t xml:space="preserve">Comunicado </w:t>
      </w:r>
      <w:r>
        <w:rPr>
          <w:rFonts w:ascii="Times New Roman" w:hAnsi="Times New Roman" w:cs="Times New Roman"/>
          <w:b/>
          <w:bCs/>
          <w:color w:val="808080"/>
          <w:sz w:val="32"/>
          <w:szCs w:val="32"/>
        </w:rPr>
        <w:t>Lunes</w:t>
      </w:r>
      <w:r w:rsidRPr="004148CF">
        <w:rPr>
          <w:rFonts w:ascii="Times New Roman" w:hAnsi="Times New Roman" w:cs="Times New Roman"/>
          <w:b/>
          <w:bCs/>
          <w:color w:val="808080"/>
          <w:sz w:val="32"/>
          <w:szCs w:val="32"/>
        </w:rPr>
        <w:t xml:space="preserve"> </w:t>
      </w:r>
      <w:r w:rsidR="005B3CF4">
        <w:rPr>
          <w:rFonts w:ascii="Times New Roman" w:hAnsi="Times New Roman" w:cs="Times New Roman"/>
          <w:b/>
          <w:bCs/>
          <w:color w:val="808080"/>
          <w:sz w:val="32"/>
          <w:szCs w:val="32"/>
        </w:rPr>
        <w:t>26</w:t>
      </w:r>
      <w:r w:rsidRPr="004148CF">
        <w:rPr>
          <w:rFonts w:ascii="Times New Roman" w:hAnsi="Times New Roman" w:cs="Times New Roman"/>
          <w:b/>
          <w:bCs/>
          <w:color w:val="808080"/>
          <w:sz w:val="32"/>
          <w:szCs w:val="32"/>
        </w:rPr>
        <w:t xml:space="preserve"> de </w:t>
      </w:r>
      <w:r w:rsidR="005B3CF4">
        <w:rPr>
          <w:rFonts w:ascii="Times New Roman" w:hAnsi="Times New Roman" w:cs="Times New Roman"/>
          <w:b/>
          <w:bCs/>
          <w:color w:val="808080"/>
          <w:sz w:val="32"/>
          <w:szCs w:val="32"/>
        </w:rPr>
        <w:t>enero</w:t>
      </w:r>
      <w:r w:rsidRPr="004148CF">
        <w:rPr>
          <w:rFonts w:ascii="Times New Roman" w:hAnsi="Times New Roman" w:cs="Times New Roman"/>
          <w:b/>
          <w:bCs/>
          <w:color w:val="808080"/>
          <w:sz w:val="32"/>
          <w:szCs w:val="32"/>
        </w:rPr>
        <w:t xml:space="preserve"> de 202</w:t>
      </w:r>
      <w:r w:rsidR="005B3CF4">
        <w:rPr>
          <w:rFonts w:ascii="Times New Roman" w:hAnsi="Times New Roman" w:cs="Times New Roman"/>
          <w:b/>
          <w:bCs/>
          <w:color w:val="808080"/>
          <w:sz w:val="32"/>
          <w:szCs w:val="32"/>
        </w:rPr>
        <w:t>6</w:t>
      </w:r>
    </w:p>
    <w:p w14:paraId="46AE63AE" w14:textId="77777777" w:rsidR="004E2EE3" w:rsidRPr="003C7AD3" w:rsidRDefault="005C5715" w:rsidP="004E2EE3">
      <w:pPr>
        <w:rPr>
          <w:rFonts w:ascii="Times New Roman" w:hAnsi="Times New Roman" w:cs="Times New Roman"/>
          <w:b/>
        </w:rPr>
      </w:pPr>
      <w:r>
        <w:rPr>
          <w:noProof/>
          <w:lang w:eastAsia="es-CL"/>
        </w:rPr>
        <w:drawing>
          <wp:anchor distT="0" distB="0" distL="114300" distR="114300" simplePos="0" relativeHeight="251659264" behindDoc="0" locked="0" layoutInCell="0" allowOverlap="1" wp14:anchorId="5489597C" wp14:editId="343AC17D">
            <wp:simplePos x="0" y="0"/>
            <wp:positionH relativeFrom="column">
              <wp:posOffset>-253993</wp:posOffset>
            </wp:positionH>
            <wp:positionV relativeFrom="paragraph">
              <wp:posOffset>280670</wp:posOffset>
            </wp:positionV>
            <wp:extent cx="6515100" cy="1038225"/>
            <wp:effectExtent l="0" t="0" r="0" b="9525"/>
            <wp:wrapTight wrapText="bothSides">
              <wp:wrapPolygon edited="0">
                <wp:start x="0" y="0"/>
                <wp:lineTo x="0" y="21402"/>
                <wp:lineTo x="21537" y="21402"/>
                <wp:lineTo x="21537" y="0"/>
                <wp:lineTo x="0" y="0"/>
              </wp:wrapPolygon>
            </wp:wrapTight>
            <wp:docPr id="1" name="Imagen 1" descr="Descripción: Descripción: bannersin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bannersinfot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515100" cy="1038225"/>
                    </a:xfrm>
                    <a:prstGeom prst="rect">
                      <a:avLst/>
                    </a:prstGeom>
                    <a:noFill/>
                  </pic:spPr>
                </pic:pic>
              </a:graphicData>
            </a:graphic>
          </wp:anchor>
        </w:drawing>
      </w:r>
      <w:r>
        <w:t>___________________________________________________________</w:t>
      </w:r>
      <w:r>
        <w:br/>
      </w:r>
      <w:r>
        <w:rPr>
          <w:rFonts w:ascii="Times New Roman" w:hAnsi="Times New Roman" w:cs="Times New Roman"/>
          <w:b/>
        </w:rPr>
        <w:t>EUGENIA ANDREASEN, CARLOS BUDNEVICH</w:t>
      </w:r>
      <w:r w:rsidRPr="00556D25">
        <w:rPr>
          <w:rFonts w:ascii="Times New Roman" w:hAnsi="Times New Roman" w:cs="Times New Roman"/>
          <w:b/>
        </w:rPr>
        <w:t xml:space="preserve">, </w:t>
      </w:r>
      <w:r w:rsidR="00DC4AF3" w:rsidRPr="00556D25">
        <w:rPr>
          <w:rFonts w:ascii="Times New Roman" w:hAnsi="Times New Roman" w:cs="Times New Roman"/>
          <w:b/>
        </w:rPr>
        <w:t>JUAN</w:t>
      </w:r>
      <w:r>
        <w:rPr>
          <w:rFonts w:ascii="Times New Roman" w:hAnsi="Times New Roman" w:cs="Times New Roman"/>
          <w:b/>
        </w:rPr>
        <w:t xml:space="preserve"> PABLO MEDINA Y</w:t>
      </w:r>
      <w:r w:rsidRPr="000431AB">
        <w:t xml:space="preserve"> </w:t>
      </w:r>
      <w:r w:rsidRPr="000431AB">
        <w:rPr>
          <w:rFonts w:ascii="Times New Roman" w:hAnsi="Times New Roman" w:cs="Times New Roman"/>
          <w:b/>
        </w:rPr>
        <w:t>ANDREA TOKMAN</w:t>
      </w:r>
      <w:r w:rsidRPr="00556D25">
        <w:rPr>
          <w:rFonts w:ascii="Times New Roman" w:hAnsi="Times New Roman" w:cs="Times New Roman"/>
          <w:b/>
        </w:rPr>
        <w:t xml:space="preserve"> </w:t>
      </w:r>
    </w:p>
    <w:p w14:paraId="2B32D870" w14:textId="229F2305" w:rsidR="008F0AE4" w:rsidRPr="00F8298D" w:rsidRDefault="00F05C08" w:rsidP="003C7AD3">
      <w:pPr>
        <w:jc w:val="both"/>
        <w:rPr>
          <w:rFonts w:ascii="Times New Roman" w:hAnsi="Times New Roman" w:cs="Times New Roman"/>
          <w:b/>
          <w:lang w:val="es-MX"/>
        </w:rPr>
      </w:pPr>
      <w:r w:rsidRPr="00F05C08">
        <w:rPr>
          <w:rFonts w:ascii="Times New Roman" w:hAnsi="Times New Roman" w:cs="Times New Roman"/>
          <w:b/>
          <w:lang w:val="es-MX"/>
        </w:rPr>
        <w:t xml:space="preserve">El escenario macroeconómico internacional ha evolucionado de manera mixta durante las últimas semanas. Por un lado, </w:t>
      </w:r>
      <w:r w:rsidR="00105B56">
        <w:rPr>
          <w:rFonts w:ascii="Times New Roman" w:hAnsi="Times New Roman" w:cs="Times New Roman"/>
          <w:b/>
          <w:lang w:val="es-MX"/>
        </w:rPr>
        <w:t>la actividad mundial sigue resiliente a</w:t>
      </w:r>
      <w:r w:rsidR="00490697">
        <w:rPr>
          <w:rFonts w:ascii="Times New Roman" w:hAnsi="Times New Roman" w:cs="Times New Roman"/>
          <w:b/>
          <w:lang w:val="es-MX"/>
        </w:rPr>
        <w:t xml:space="preserve"> </w:t>
      </w:r>
      <w:r w:rsidR="00105B56">
        <w:rPr>
          <w:rFonts w:ascii="Times New Roman" w:hAnsi="Times New Roman" w:cs="Times New Roman"/>
          <w:b/>
          <w:lang w:val="es-MX"/>
        </w:rPr>
        <w:t>las tensiones geopolíticas, incluso con mejores perspectivas</w:t>
      </w:r>
      <w:r w:rsidR="00490697">
        <w:rPr>
          <w:rFonts w:ascii="Times New Roman" w:hAnsi="Times New Roman" w:cs="Times New Roman"/>
          <w:b/>
          <w:lang w:val="es-MX"/>
        </w:rPr>
        <w:t xml:space="preserve"> de crecimiento</w:t>
      </w:r>
      <w:r w:rsidR="00105B56">
        <w:rPr>
          <w:rFonts w:ascii="Times New Roman" w:hAnsi="Times New Roman" w:cs="Times New Roman"/>
          <w:b/>
          <w:lang w:val="es-MX"/>
        </w:rPr>
        <w:t xml:space="preserve"> que las</w:t>
      </w:r>
      <w:r w:rsidR="00542F21">
        <w:rPr>
          <w:rFonts w:ascii="Times New Roman" w:hAnsi="Times New Roman" w:cs="Times New Roman"/>
          <w:b/>
          <w:lang w:val="es-MX"/>
        </w:rPr>
        <w:t xml:space="preserve"> contempladas</w:t>
      </w:r>
      <w:r w:rsidR="00105B56">
        <w:rPr>
          <w:rFonts w:ascii="Times New Roman" w:hAnsi="Times New Roman" w:cs="Times New Roman"/>
          <w:b/>
          <w:lang w:val="es-MX"/>
        </w:rPr>
        <w:t xml:space="preserve"> previa</w:t>
      </w:r>
      <w:r w:rsidR="00542F21">
        <w:rPr>
          <w:rFonts w:ascii="Times New Roman" w:hAnsi="Times New Roman" w:cs="Times New Roman"/>
          <w:b/>
          <w:lang w:val="es-MX"/>
        </w:rPr>
        <w:t>mente</w:t>
      </w:r>
      <w:r w:rsidR="00105B56">
        <w:rPr>
          <w:rFonts w:ascii="Times New Roman" w:hAnsi="Times New Roman" w:cs="Times New Roman"/>
          <w:b/>
          <w:lang w:val="es-MX"/>
        </w:rPr>
        <w:t>.</w:t>
      </w:r>
      <w:r w:rsidR="00490697">
        <w:rPr>
          <w:rFonts w:ascii="Times New Roman" w:hAnsi="Times New Roman" w:cs="Times New Roman"/>
          <w:b/>
          <w:lang w:val="es-MX"/>
        </w:rPr>
        <w:t xml:space="preserve"> Además</w:t>
      </w:r>
      <w:r w:rsidR="00105B56">
        <w:rPr>
          <w:rFonts w:ascii="Times New Roman" w:hAnsi="Times New Roman" w:cs="Times New Roman"/>
          <w:b/>
          <w:lang w:val="es-MX"/>
        </w:rPr>
        <w:t xml:space="preserve">, con ciertos matices, el proceso </w:t>
      </w:r>
      <w:r w:rsidRPr="00F05C08">
        <w:rPr>
          <w:rFonts w:ascii="Times New Roman" w:hAnsi="Times New Roman" w:cs="Times New Roman"/>
          <w:b/>
          <w:lang w:val="es-MX"/>
        </w:rPr>
        <w:t xml:space="preserve">de desinflación </w:t>
      </w:r>
      <w:r w:rsidR="00105B56">
        <w:rPr>
          <w:rFonts w:ascii="Times New Roman" w:hAnsi="Times New Roman" w:cs="Times New Roman"/>
          <w:b/>
          <w:lang w:val="es-MX"/>
        </w:rPr>
        <w:t xml:space="preserve">ha continuado </w:t>
      </w:r>
      <w:r w:rsidRPr="00F05C08">
        <w:rPr>
          <w:rFonts w:ascii="Times New Roman" w:hAnsi="Times New Roman" w:cs="Times New Roman"/>
          <w:b/>
          <w:lang w:val="es-MX"/>
        </w:rPr>
        <w:t>en las principales economías avanzadas</w:t>
      </w:r>
      <w:r w:rsidRPr="00490697">
        <w:rPr>
          <w:rFonts w:ascii="Times New Roman" w:hAnsi="Times New Roman" w:cs="Times New Roman"/>
          <w:b/>
          <w:lang w:val="es-MX"/>
        </w:rPr>
        <w:t xml:space="preserve">, lo que ha </w:t>
      </w:r>
      <w:r w:rsidR="00105B56" w:rsidRPr="00490697">
        <w:rPr>
          <w:rFonts w:ascii="Times New Roman" w:hAnsi="Times New Roman" w:cs="Times New Roman"/>
          <w:b/>
          <w:lang w:val="es-MX"/>
        </w:rPr>
        <w:t xml:space="preserve">venido confirmando </w:t>
      </w:r>
      <w:r w:rsidRPr="00490697">
        <w:rPr>
          <w:rFonts w:ascii="Times New Roman" w:hAnsi="Times New Roman" w:cs="Times New Roman"/>
          <w:b/>
          <w:lang w:val="es-MX"/>
        </w:rPr>
        <w:t>las expectativas de una política monetaria global gradualmente menos restrictiva</w:t>
      </w:r>
      <w:r w:rsidRPr="00F05C08">
        <w:rPr>
          <w:rFonts w:ascii="Times New Roman" w:hAnsi="Times New Roman" w:cs="Times New Roman"/>
          <w:b/>
          <w:lang w:val="es-MX"/>
        </w:rPr>
        <w:t>. Por otro lado, ha aumentado la volatilidad financiera internacional, asociada a</w:t>
      </w:r>
      <w:r w:rsidR="00542F21">
        <w:rPr>
          <w:rFonts w:ascii="Times New Roman" w:hAnsi="Times New Roman" w:cs="Times New Roman"/>
          <w:b/>
          <w:lang w:val="es-MX"/>
        </w:rPr>
        <w:t xml:space="preserve"> nuevas</w:t>
      </w:r>
      <w:r w:rsidRPr="00F05C08">
        <w:rPr>
          <w:rFonts w:ascii="Times New Roman" w:hAnsi="Times New Roman" w:cs="Times New Roman"/>
          <w:b/>
          <w:lang w:val="es-MX"/>
        </w:rPr>
        <w:t xml:space="preserve"> tensiones geopolíticas</w:t>
      </w:r>
      <w:r w:rsidR="004A65C7">
        <w:rPr>
          <w:rFonts w:ascii="Times New Roman" w:hAnsi="Times New Roman" w:cs="Times New Roman"/>
          <w:b/>
          <w:lang w:val="es-MX"/>
        </w:rPr>
        <w:t xml:space="preserve"> y </w:t>
      </w:r>
      <w:r w:rsidRPr="00F05C08">
        <w:rPr>
          <w:rFonts w:ascii="Times New Roman" w:hAnsi="Times New Roman" w:cs="Times New Roman"/>
          <w:b/>
          <w:lang w:val="es-MX"/>
        </w:rPr>
        <w:t>episodios de incertidumbre política. En este contexto, las condiciones externas para la economía chilena continúan siendo más favorables que las observadas durante años anteriores, aunque con riesgos financieros que aconsejan mantener una</w:t>
      </w:r>
      <w:r w:rsidR="00811C46">
        <w:rPr>
          <w:rFonts w:ascii="Times New Roman" w:hAnsi="Times New Roman" w:cs="Times New Roman"/>
          <w:b/>
          <w:lang w:val="es-MX"/>
        </w:rPr>
        <w:t xml:space="preserve"> visión cautelosa</w:t>
      </w:r>
      <w:r w:rsidRPr="00F05C08">
        <w:rPr>
          <w:rFonts w:ascii="Times New Roman" w:hAnsi="Times New Roman" w:cs="Times New Roman"/>
          <w:b/>
          <w:lang w:val="es-MX"/>
        </w:rPr>
        <w:t xml:space="preserve">. A nivel local, la actividad económica sigue </w:t>
      </w:r>
      <w:r>
        <w:rPr>
          <w:rFonts w:ascii="Times New Roman" w:hAnsi="Times New Roman" w:cs="Times New Roman"/>
          <w:b/>
          <w:lang w:val="es-MX"/>
        </w:rPr>
        <w:t xml:space="preserve">recuperando dinamismo </w:t>
      </w:r>
      <w:r w:rsidRPr="00F05C08">
        <w:rPr>
          <w:rFonts w:ascii="Times New Roman" w:hAnsi="Times New Roman" w:cs="Times New Roman"/>
          <w:b/>
          <w:lang w:val="es-MX"/>
        </w:rPr>
        <w:t>de forma gradual</w:t>
      </w:r>
      <w:r w:rsidR="004A65C7">
        <w:rPr>
          <w:rFonts w:ascii="Times New Roman" w:hAnsi="Times New Roman" w:cs="Times New Roman"/>
          <w:b/>
          <w:lang w:val="es-MX"/>
        </w:rPr>
        <w:t>, aunque</w:t>
      </w:r>
      <w:r w:rsidR="004A65C7" w:rsidRPr="00F05C08">
        <w:rPr>
          <w:rFonts w:ascii="Times New Roman" w:hAnsi="Times New Roman" w:cs="Times New Roman"/>
          <w:b/>
          <w:lang w:val="es-MX"/>
        </w:rPr>
        <w:t xml:space="preserve"> </w:t>
      </w:r>
      <w:r w:rsidR="004A65C7">
        <w:rPr>
          <w:rFonts w:ascii="Times New Roman" w:hAnsi="Times New Roman" w:cs="Times New Roman"/>
          <w:b/>
          <w:lang w:val="es-MX"/>
        </w:rPr>
        <w:t>con heterogeneidad sectorial. Al mismo tiempo,</w:t>
      </w:r>
      <w:r w:rsidR="00811C46">
        <w:rPr>
          <w:rFonts w:ascii="Times New Roman" w:hAnsi="Times New Roman" w:cs="Times New Roman"/>
          <w:b/>
          <w:lang w:val="es-MX"/>
        </w:rPr>
        <w:t xml:space="preserve"> </w:t>
      </w:r>
      <w:r w:rsidR="004A65C7">
        <w:rPr>
          <w:rFonts w:ascii="Times New Roman" w:hAnsi="Times New Roman" w:cs="Times New Roman"/>
          <w:b/>
          <w:lang w:val="es-MX"/>
        </w:rPr>
        <w:t xml:space="preserve">las </w:t>
      </w:r>
      <w:r w:rsidR="00811C46">
        <w:rPr>
          <w:rFonts w:ascii="Times New Roman" w:hAnsi="Times New Roman" w:cs="Times New Roman"/>
          <w:b/>
          <w:lang w:val="es-MX"/>
        </w:rPr>
        <w:t>perspectivas</w:t>
      </w:r>
      <w:r w:rsidR="004A65C7">
        <w:rPr>
          <w:rFonts w:ascii="Times New Roman" w:hAnsi="Times New Roman" w:cs="Times New Roman"/>
          <w:b/>
          <w:lang w:val="es-MX"/>
        </w:rPr>
        <w:t xml:space="preserve"> para el crecimiento del PIB de</w:t>
      </w:r>
      <w:r w:rsidR="00AE18F8">
        <w:rPr>
          <w:rFonts w:ascii="Times New Roman" w:hAnsi="Times New Roman" w:cs="Times New Roman"/>
          <w:b/>
          <w:lang w:val="es-MX"/>
        </w:rPr>
        <w:t xml:space="preserve"> Chile</w:t>
      </w:r>
      <w:r w:rsidR="00542F21">
        <w:rPr>
          <w:rFonts w:ascii="Times New Roman" w:hAnsi="Times New Roman" w:cs="Times New Roman"/>
          <w:b/>
          <w:lang w:val="es-MX"/>
        </w:rPr>
        <w:t xml:space="preserve"> para</w:t>
      </w:r>
      <w:r w:rsidR="004A65C7">
        <w:rPr>
          <w:rFonts w:ascii="Times New Roman" w:hAnsi="Times New Roman" w:cs="Times New Roman"/>
          <w:b/>
          <w:lang w:val="es-MX"/>
        </w:rPr>
        <w:t xml:space="preserve"> este año y el próximo han mejorado</w:t>
      </w:r>
      <w:r>
        <w:rPr>
          <w:rFonts w:ascii="Times New Roman" w:hAnsi="Times New Roman" w:cs="Times New Roman"/>
          <w:b/>
          <w:lang w:val="es-MX"/>
        </w:rPr>
        <w:t>. Por su parte,</w:t>
      </w:r>
      <w:r w:rsidRPr="00F05C08">
        <w:rPr>
          <w:rFonts w:ascii="Times New Roman" w:hAnsi="Times New Roman" w:cs="Times New Roman"/>
          <w:b/>
          <w:lang w:val="es-MX"/>
        </w:rPr>
        <w:t xml:space="preserve"> la inflación </w:t>
      </w:r>
      <w:r w:rsidR="00C14D9E">
        <w:rPr>
          <w:rFonts w:ascii="Times New Roman" w:hAnsi="Times New Roman" w:cs="Times New Roman"/>
          <w:b/>
          <w:lang w:val="es-MX"/>
        </w:rPr>
        <w:t xml:space="preserve">local </w:t>
      </w:r>
      <w:r>
        <w:rPr>
          <w:rFonts w:ascii="Times New Roman" w:hAnsi="Times New Roman" w:cs="Times New Roman"/>
          <w:b/>
          <w:lang w:val="es-MX"/>
        </w:rPr>
        <w:t xml:space="preserve">aceleró su convergencia a la meta </w:t>
      </w:r>
      <w:r w:rsidRPr="00F05C08">
        <w:rPr>
          <w:rFonts w:ascii="Times New Roman" w:hAnsi="Times New Roman" w:cs="Times New Roman"/>
          <w:b/>
          <w:lang w:val="es-MX"/>
        </w:rPr>
        <w:t xml:space="preserve">y </w:t>
      </w:r>
      <w:r w:rsidR="00811C46">
        <w:rPr>
          <w:rFonts w:ascii="Times New Roman" w:hAnsi="Times New Roman" w:cs="Times New Roman"/>
          <w:b/>
          <w:lang w:val="es-MX"/>
        </w:rPr>
        <w:t>sus</w:t>
      </w:r>
      <w:r w:rsidRPr="00F05C08">
        <w:rPr>
          <w:rFonts w:ascii="Times New Roman" w:hAnsi="Times New Roman" w:cs="Times New Roman"/>
          <w:b/>
          <w:lang w:val="es-MX"/>
        </w:rPr>
        <w:t xml:space="preserve"> expectativas permanecen ancladas. Considerando este conjunto de antecedentes,</w:t>
      </w:r>
      <w:r w:rsidR="003C7AD3" w:rsidRPr="00F8298D">
        <w:rPr>
          <w:rFonts w:ascii="Times New Roman" w:hAnsi="Times New Roman" w:cs="Times New Roman"/>
          <w:b/>
          <w:lang w:val="es-MX"/>
        </w:rPr>
        <w:t xml:space="preserve"> </w:t>
      </w:r>
      <w:r w:rsidR="003C7AD3" w:rsidRPr="00F8298D">
        <w:rPr>
          <w:rFonts w:ascii="Times New Roman" w:hAnsi="Times New Roman" w:cs="Times New Roman"/>
          <w:b/>
          <w:bCs/>
          <w:lang w:val="es-MX"/>
        </w:rPr>
        <w:t xml:space="preserve">el Grupo de Política Monetaria recomienda </w:t>
      </w:r>
      <w:r w:rsidR="000E6894" w:rsidRPr="00F8298D">
        <w:rPr>
          <w:rFonts w:ascii="Times New Roman" w:hAnsi="Times New Roman" w:cs="Times New Roman"/>
          <w:b/>
          <w:bCs/>
          <w:lang w:val="es-MX"/>
        </w:rPr>
        <w:t xml:space="preserve">mantener </w:t>
      </w:r>
      <w:r w:rsidR="003C7AD3" w:rsidRPr="00F8298D">
        <w:rPr>
          <w:rFonts w:ascii="Times New Roman" w:hAnsi="Times New Roman" w:cs="Times New Roman"/>
          <w:b/>
          <w:bCs/>
          <w:lang w:val="es-MX"/>
        </w:rPr>
        <w:t>la Tasa de Política Monetaria (TPM) en un 4,5</w:t>
      </w:r>
      <w:r w:rsidR="003C7AD3" w:rsidRPr="00F8298D">
        <w:rPr>
          <w:rFonts w:ascii="Times New Roman" w:hAnsi="Times New Roman" w:cs="Times New Roman"/>
          <w:b/>
          <w:lang w:val="es-MX"/>
        </w:rPr>
        <w:t>%</w:t>
      </w:r>
      <w:r w:rsidR="008F0AE4" w:rsidRPr="00F8298D">
        <w:rPr>
          <w:rFonts w:ascii="Times New Roman" w:hAnsi="Times New Roman" w:cs="Times New Roman"/>
          <w:b/>
          <w:lang w:val="es-MX"/>
        </w:rPr>
        <w:t>.</w:t>
      </w:r>
      <w:r w:rsidR="003C7AD3" w:rsidRPr="00F8298D">
        <w:rPr>
          <w:rFonts w:ascii="Times New Roman" w:hAnsi="Times New Roman" w:cs="Times New Roman"/>
          <w:b/>
          <w:lang w:val="es-MX"/>
        </w:rPr>
        <w:t xml:space="preserve"> </w:t>
      </w:r>
    </w:p>
    <w:p w14:paraId="6CAE7319" w14:textId="4712584E" w:rsidR="00CD6A7E" w:rsidRDefault="000E6894" w:rsidP="000E6894">
      <w:pPr>
        <w:jc w:val="both"/>
        <w:rPr>
          <w:rFonts w:ascii="Times New Roman" w:hAnsi="Times New Roman" w:cs="Times New Roman"/>
          <w:lang w:val="es-MX"/>
        </w:rPr>
      </w:pPr>
      <w:r w:rsidRPr="000E6894">
        <w:rPr>
          <w:rFonts w:ascii="Times New Roman" w:hAnsi="Times New Roman" w:cs="Times New Roman"/>
          <w:lang w:val="es-MX"/>
        </w:rPr>
        <w:t xml:space="preserve">La economía mundial inicia 2026 con un balance de riesgos más equilibrado que el observado a mediados del año pasado. </w:t>
      </w:r>
      <w:r w:rsidR="007738AB">
        <w:rPr>
          <w:rFonts w:ascii="Times New Roman" w:hAnsi="Times New Roman" w:cs="Times New Roman"/>
          <w:lang w:val="es-MX"/>
        </w:rPr>
        <w:t xml:space="preserve">En efecto, la semana pasada el FMI revisó al alza en 0,2% el crecimiento global este año, </w:t>
      </w:r>
      <w:r w:rsidR="00105B56">
        <w:rPr>
          <w:rFonts w:ascii="Times New Roman" w:hAnsi="Times New Roman" w:cs="Times New Roman"/>
          <w:lang w:val="es-MX"/>
        </w:rPr>
        <w:t>dejándolo</w:t>
      </w:r>
      <w:r w:rsidR="007738AB">
        <w:rPr>
          <w:rFonts w:ascii="Times New Roman" w:hAnsi="Times New Roman" w:cs="Times New Roman"/>
          <w:lang w:val="es-MX"/>
        </w:rPr>
        <w:t xml:space="preserve"> estable en 3,3%</w:t>
      </w:r>
      <w:r w:rsidR="004A65C7">
        <w:rPr>
          <w:rFonts w:ascii="Times New Roman" w:hAnsi="Times New Roman" w:cs="Times New Roman"/>
          <w:lang w:val="es-MX"/>
        </w:rPr>
        <w:t>, la cual es una cifra equivalente a la contemplada para el año pasado</w:t>
      </w:r>
      <w:r w:rsidR="007738AB">
        <w:rPr>
          <w:rFonts w:ascii="Times New Roman" w:hAnsi="Times New Roman" w:cs="Times New Roman"/>
          <w:lang w:val="es-MX"/>
        </w:rPr>
        <w:t xml:space="preserve">. </w:t>
      </w:r>
      <w:r w:rsidRPr="000E6894">
        <w:rPr>
          <w:rFonts w:ascii="Times New Roman" w:hAnsi="Times New Roman" w:cs="Times New Roman"/>
          <w:lang w:val="es-MX"/>
        </w:rPr>
        <w:t>En E</w:t>
      </w:r>
      <w:r w:rsidR="00811C46">
        <w:rPr>
          <w:rFonts w:ascii="Times New Roman" w:hAnsi="Times New Roman" w:cs="Times New Roman"/>
          <w:lang w:val="es-MX"/>
        </w:rPr>
        <w:t>E</w:t>
      </w:r>
      <w:r w:rsidR="002114D2">
        <w:rPr>
          <w:rFonts w:ascii="Times New Roman" w:hAnsi="Times New Roman" w:cs="Times New Roman"/>
          <w:lang w:val="es-MX"/>
        </w:rPr>
        <w:t>.</w:t>
      </w:r>
      <w:r w:rsidR="00811C46">
        <w:rPr>
          <w:rFonts w:ascii="Times New Roman" w:hAnsi="Times New Roman" w:cs="Times New Roman"/>
          <w:lang w:val="es-MX"/>
        </w:rPr>
        <w:t>UU</w:t>
      </w:r>
      <w:r w:rsidR="002114D2">
        <w:rPr>
          <w:rFonts w:ascii="Times New Roman" w:hAnsi="Times New Roman" w:cs="Times New Roman"/>
          <w:lang w:val="es-MX"/>
        </w:rPr>
        <w:t>.</w:t>
      </w:r>
      <w:r w:rsidRPr="000E6894">
        <w:rPr>
          <w:rFonts w:ascii="Times New Roman" w:hAnsi="Times New Roman" w:cs="Times New Roman"/>
          <w:lang w:val="es-MX"/>
        </w:rPr>
        <w:t>, los datos recientes confirman un</w:t>
      </w:r>
      <w:r w:rsidR="00C14D9E">
        <w:rPr>
          <w:rFonts w:ascii="Times New Roman" w:hAnsi="Times New Roman" w:cs="Times New Roman"/>
          <w:lang w:val="es-MX"/>
        </w:rPr>
        <w:t xml:space="preserve"> proceso de</w:t>
      </w:r>
      <w:r w:rsidRPr="000E6894">
        <w:rPr>
          <w:rFonts w:ascii="Times New Roman" w:hAnsi="Times New Roman" w:cs="Times New Roman"/>
          <w:lang w:val="es-MX"/>
        </w:rPr>
        <w:t xml:space="preserve"> </w:t>
      </w:r>
      <w:r w:rsidR="00364DE7">
        <w:rPr>
          <w:rFonts w:ascii="Times New Roman" w:hAnsi="Times New Roman" w:cs="Times New Roman"/>
          <w:lang w:val="es-MX"/>
        </w:rPr>
        <w:t xml:space="preserve">desinflación </w:t>
      </w:r>
      <w:r w:rsidRPr="000E6894">
        <w:rPr>
          <w:rFonts w:ascii="Times New Roman" w:hAnsi="Times New Roman" w:cs="Times New Roman"/>
          <w:lang w:val="es-MX"/>
        </w:rPr>
        <w:t>más clar</w:t>
      </w:r>
      <w:r w:rsidR="00C14D9E">
        <w:rPr>
          <w:rFonts w:ascii="Times New Roman" w:hAnsi="Times New Roman" w:cs="Times New Roman"/>
          <w:lang w:val="es-MX"/>
        </w:rPr>
        <w:t>o</w:t>
      </w:r>
      <w:r w:rsidRPr="000E6894">
        <w:rPr>
          <w:rFonts w:ascii="Times New Roman" w:hAnsi="Times New Roman" w:cs="Times New Roman"/>
          <w:lang w:val="es-MX"/>
        </w:rPr>
        <w:t xml:space="preserve">, particularmente en </w:t>
      </w:r>
      <w:r w:rsidR="00364DE7">
        <w:rPr>
          <w:rFonts w:ascii="Times New Roman" w:hAnsi="Times New Roman" w:cs="Times New Roman"/>
          <w:lang w:val="es-MX"/>
        </w:rPr>
        <w:t>su componente</w:t>
      </w:r>
      <w:r w:rsidRPr="000E6894">
        <w:rPr>
          <w:rFonts w:ascii="Times New Roman" w:hAnsi="Times New Roman" w:cs="Times New Roman"/>
          <w:lang w:val="es-MX"/>
        </w:rPr>
        <w:t xml:space="preserve"> subyacente</w:t>
      </w:r>
      <w:r w:rsidR="00B90FAB">
        <w:rPr>
          <w:rFonts w:ascii="Times New Roman" w:hAnsi="Times New Roman" w:cs="Times New Roman"/>
          <w:lang w:val="es-MX"/>
        </w:rPr>
        <w:t>. Junto con lo anterior, el</w:t>
      </w:r>
      <w:r w:rsidRPr="000E6894">
        <w:rPr>
          <w:rFonts w:ascii="Times New Roman" w:hAnsi="Times New Roman" w:cs="Times New Roman"/>
          <w:lang w:val="es-MX"/>
        </w:rPr>
        <w:t xml:space="preserve"> mercado laboral </w:t>
      </w:r>
      <w:r w:rsidR="00B90FAB">
        <w:rPr>
          <w:rFonts w:ascii="Times New Roman" w:hAnsi="Times New Roman" w:cs="Times New Roman"/>
          <w:lang w:val="es-MX"/>
        </w:rPr>
        <w:t>en EE</w:t>
      </w:r>
      <w:r w:rsidR="002114D2">
        <w:rPr>
          <w:rFonts w:ascii="Times New Roman" w:hAnsi="Times New Roman" w:cs="Times New Roman"/>
          <w:lang w:val="es-MX"/>
        </w:rPr>
        <w:t>.</w:t>
      </w:r>
      <w:r w:rsidR="00B90FAB">
        <w:rPr>
          <w:rFonts w:ascii="Times New Roman" w:hAnsi="Times New Roman" w:cs="Times New Roman"/>
          <w:lang w:val="es-MX"/>
        </w:rPr>
        <w:t>UU</w:t>
      </w:r>
      <w:r w:rsidR="002114D2">
        <w:rPr>
          <w:rFonts w:ascii="Times New Roman" w:hAnsi="Times New Roman" w:cs="Times New Roman"/>
          <w:lang w:val="es-MX"/>
        </w:rPr>
        <w:t>.</w:t>
      </w:r>
      <w:r w:rsidR="00B90FAB">
        <w:rPr>
          <w:rFonts w:ascii="Times New Roman" w:hAnsi="Times New Roman" w:cs="Times New Roman"/>
          <w:lang w:val="es-MX"/>
        </w:rPr>
        <w:t xml:space="preserve"> </w:t>
      </w:r>
      <w:r w:rsidR="004A65C7">
        <w:rPr>
          <w:rFonts w:ascii="Times New Roman" w:hAnsi="Times New Roman" w:cs="Times New Roman"/>
          <w:lang w:val="es-MX"/>
        </w:rPr>
        <w:t>pareciera</w:t>
      </w:r>
      <w:r w:rsidRPr="000E6894">
        <w:rPr>
          <w:rFonts w:ascii="Times New Roman" w:hAnsi="Times New Roman" w:cs="Times New Roman"/>
          <w:lang w:val="es-MX"/>
        </w:rPr>
        <w:t xml:space="preserve"> contin</w:t>
      </w:r>
      <w:r w:rsidR="004A65C7">
        <w:rPr>
          <w:rFonts w:ascii="Times New Roman" w:hAnsi="Times New Roman" w:cs="Times New Roman"/>
          <w:lang w:val="es-MX"/>
        </w:rPr>
        <w:t xml:space="preserve">uar </w:t>
      </w:r>
      <w:r w:rsidRPr="000E6894">
        <w:rPr>
          <w:rFonts w:ascii="Times New Roman" w:hAnsi="Times New Roman" w:cs="Times New Roman"/>
          <w:lang w:val="es-MX"/>
        </w:rPr>
        <w:t>enfriándose de manera gradual</w:t>
      </w:r>
      <w:r w:rsidR="004A65C7">
        <w:rPr>
          <w:rFonts w:ascii="Times New Roman" w:hAnsi="Times New Roman" w:cs="Times New Roman"/>
          <w:lang w:val="es-MX"/>
        </w:rPr>
        <w:t xml:space="preserve">, aunque con señales </w:t>
      </w:r>
      <w:r w:rsidR="00B90FAB">
        <w:rPr>
          <w:rFonts w:ascii="Times New Roman" w:hAnsi="Times New Roman" w:cs="Times New Roman"/>
          <w:lang w:val="es-MX"/>
        </w:rPr>
        <w:t>mixtas sobre dicho proce</w:t>
      </w:r>
      <w:r w:rsidR="00AE18F8">
        <w:rPr>
          <w:rFonts w:ascii="Times New Roman" w:hAnsi="Times New Roman" w:cs="Times New Roman"/>
          <w:lang w:val="es-MX"/>
        </w:rPr>
        <w:t>so</w:t>
      </w:r>
      <w:r w:rsidRPr="000E6894">
        <w:rPr>
          <w:rFonts w:ascii="Times New Roman" w:hAnsi="Times New Roman" w:cs="Times New Roman"/>
          <w:lang w:val="es-MX"/>
        </w:rPr>
        <w:t xml:space="preserve">. </w:t>
      </w:r>
      <w:r w:rsidR="00AE18F8">
        <w:rPr>
          <w:rFonts w:ascii="Times New Roman" w:hAnsi="Times New Roman" w:cs="Times New Roman"/>
          <w:lang w:val="es-MX"/>
        </w:rPr>
        <w:t>Así, s</w:t>
      </w:r>
      <w:r w:rsidRPr="000E6894">
        <w:rPr>
          <w:rFonts w:ascii="Times New Roman" w:hAnsi="Times New Roman" w:cs="Times New Roman"/>
          <w:lang w:val="es-MX"/>
        </w:rPr>
        <w:t xml:space="preserve">i bien la actividad </w:t>
      </w:r>
      <w:r w:rsidR="00596DD8">
        <w:rPr>
          <w:rFonts w:ascii="Times New Roman" w:hAnsi="Times New Roman" w:cs="Times New Roman"/>
          <w:lang w:val="es-MX"/>
        </w:rPr>
        <w:t>en EE</w:t>
      </w:r>
      <w:r w:rsidR="002114D2">
        <w:rPr>
          <w:rFonts w:ascii="Times New Roman" w:hAnsi="Times New Roman" w:cs="Times New Roman"/>
          <w:lang w:val="es-MX"/>
        </w:rPr>
        <w:t>.</w:t>
      </w:r>
      <w:r w:rsidR="00596DD8">
        <w:rPr>
          <w:rFonts w:ascii="Times New Roman" w:hAnsi="Times New Roman" w:cs="Times New Roman"/>
          <w:lang w:val="es-MX"/>
        </w:rPr>
        <w:t>UU</w:t>
      </w:r>
      <w:r w:rsidR="002114D2">
        <w:rPr>
          <w:rFonts w:ascii="Times New Roman" w:hAnsi="Times New Roman" w:cs="Times New Roman"/>
          <w:lang w:val="es-MX"/>
        </w:rPr>
        <w:t>.</w:t>
      </w:r>
      <w:r w:rsidR="00596DD8">
        <w:rPr>
          <w:rFonts w:ascii="Times New Roman" w:hAnsi="Times New Roman" w:cs="Times New Roman"/>
          <w:lang w:val="es-MX"/>
        </w:rPr>
        <w:t xml:space="preserve"> </w:t>
      </w:r>
      <w:r w:rsidRPr="000E6894">
        <w:rPr>
          <w:rFonts w:ascii="Times New Roman" w:hAnsi="Times New Roman" w:cs="Times New Roman"/>
          <w:lang w:val="es-MX"/>
        </w:rPr>
        <w:t xml:space="preserve">ha mostrado resiliencia, con un crecimiento del PIB superior a lo anticipado durante la segunda mitad de 2025, los indicadores de empleo y salarios sugieren una moderación progresiva de las presiones de demanda. En este contexto, la </w:t>
      </w:r>
      <w:r w:rsidR="00811C46">
        <w:rPr>
          <w:rFonts w:ascii="Times New Roman" w:hAnsi="Times New Roman" w:cs="Times New Roman"/>
          <w:lang w:val="es-MX"/>
        </w:rPr>
        <w:t xml:space="preserve">FED </w:t>
      </w:r>
      <w:r w:rsidRPr="000E6894">
        <w:rPr>
          <w:rFonts w:ascii="Times New Roman" w:hAnsi="Times New Roman" w:cs="Times New Roman"/>
          <w:lang w:val="es-MX"/>
        </w:rPr>
        <w:t xml:space="preserve">redujo su tasa de política monetaria en diciembre y ha reforzado un mensaje </w:t>
      </w:r>
      <w:r w:rsidR="00364DE7">
        <w:rPr>
          <w:rFonts w:ascii="Times New Roman" w:hAnsi="Times New Roman" w:cs="Times New Roman"/>
          <w:lang w:val="es-MX"/>
        </w:rPr>
        <w:t xml:space="preserve">de </w:t>
      </w:r>
      <w:r w:rsidRPr="000E6894">
        <w:rPr>
          <w:rFonts w:ascii="Times New Roman" w:hAnsi="Times New Roman" w:cs="Times New Roman"/>
          <w:lang w:val="es-MX"/>
        </w:rPr>
        <w:t xml:space="preserve">que futuros recortes requerirán evidencia adicional de convergencia inflacionaria. </w:t>
      </w:r>
    </w:p>
    <w:p w14:paraId="63DCF83A" w14:textId="2F2BBB6A" w:rsidR="00272E33" w:rsidRDefault="00272E33" w:rsidP="000E6894">
      <w:pPr>
        <w:jc w:val="both"/>
        <w:rPr>
          <w:rFonts w:ascii="Times New Roman" w:hAnsi="Times New Roman" w:cs="Times New Roman"/>
          <w:lang w:val="es-MX"/>
        </w:rPr>
      </w:pPr>
      <w:r w:rsidRPr="000E6894">
        <w:rPr>
          <w:rFonts w:ascii="Times New Roman" w:hAnsi="Times New Roman" w:cs="Times New Roman"/>
          <w:lang w:val="es-MX"/>
        </w:rPr>
        <w:t xml:space="preserve">En Europa, el </w:t>
      </w:r>
      <w:r>
        <w:rPr>
          <w:rFonts w:ascii="Times New Roman" w:hAnsi="Times New Roman" w:cs="Times New Roman"/>
          <w:lang w:val="es-MX"/>
        </w:rPr>
        <w:t xml:space="preserve">dinamismo de la actividad </w:t>
      </w:r>
      <w:r w:rsidRPr="000E6894">
        <w:rPr>
          <w:rFonts w:ascii="Times New Roman" w:hAnsi="Times New Roman" w:cs="Times New Roman"/>
          <w:lang w:val="es-MX"/>
        </w:rPr>
        <w:t xml:space="preserve">continúa siendo </w:t>
      </w:r>
      <w:r>
        <w:rPr>
          <w:rFonts w:ascii="Times New Roman" w:hAnsi="Times New Roman" w:cs="Times New Roman"/>
          <w:lang w:val="es-MX"/>
        </w:rPr>
        <w:t xml:space="preserve">un tanto más </w:t>
      </w:r>
      <w:r w:rsidRPr="000E6894">
        <w:rPr>
          <w:rFonts w:ascii="Times New Roman" w:hAnsi="Times New Roman" w:cs="Times New Roman"/>
          <w:lang w:val="es-MX"/>
        </w:rPr>
        <w:t>débil y</w:t>
      </w:r>
      <w:r>
        <w:rPr>
          <w:rFonts w:ascii="Times New Roman" w:hAnsi="Times New Roman" w:cs="Times New Roman"/>
          <w:lang w:val="es-MX"/>
        </w:rPr>
        <w:t xml:space="preserve"> diverso</w:t>
      </w:r>
      <w:r w:rsidRPr="000E6894">
        <w:rPr>
          <w:rFonts w:ascii="Times New Roman" w:hAnsi="Times New Roman" w:cs="Times New Roman"/>
          <w:lang w:val="es-MX"/>
        </w:rPr>
        <w:t xml:space="preserve">. Mientras la Zona Euro enfrenta dificultades para ganar tracción en un contexto de demanda interna contenida y una política monetaria aún restrictiva, el Reino Unido sigue mostrando una inflación de servicios elevada, asociada a presiones salariales persistentes, lo que ha limitado el espacio para una relajación monetaria más rápida. </w:t>
      </w:r>
      <w:r>
        <w:rPr>
          <w:rFonts w:ascii="Times New Roman" w:hAnsi="Times New Roman" w:cs="Times New Roman"/>
          <w:lang w:val="es-MX"/>
        </w:rPr>
        <w:t>Por su parte</w:t>
      </w:r>
      <w:r w:rsidRPr="000E6894">
        <w:rPr>
          <w:rFonts w:ascii="Times New Roman" w:hAnsi="Times New Roman" w:cs="Times New Roman"/>
          <w:lang w:val="es-MX"/>
        </w:rPr>
        <w:t xml:space="preserve">, China </w:t>
      </w:r>
      <w:r>
        <w:rPr>
          <w:rFonts w:ascii="Times New Roman" w:hAnsi="Times New Roman" w:cs="Times New Roman"/>
          <w:lang w:val="es-MX"/>
        </w:rPr>
        <w:t xml:space="preserve">parece haber cerrado el </w:t>
      </w:r>
      <w:r w:rsidRPr="000E6894">
        <w:rPr>
          <w:rFonts w:ascii="Times New Roman" w:hAnsi="Times New Roman" w:cs="Times New Roman"/>
          <w:lang w:val="es-MX"/>
        </w:rPr>
        <w:t>2025 cumpliendo su meta de crecimiento</w:t>
      </w:r>
      <w:r>
        <w:rPr>
          <w:rFonts w:ascii="Times New Roman" w:hAnsi="Times New Roman" w:cs="Times New Roman"/>
          <w:lang w:val="es-MX"/>
        </w:rPr>
        <w:t xml:space="preserve"> sostenida por una mayor resiliencia de sus exportaciones a la guerra comercial</w:t>
      </w:r>
      <w:r w:rsidRPr="000E6894">
        <w:rPr>
          <w:rFonts w:ascii="Times New Roman" w:hAnsi="Times New Roman" w:cs="Times New Roman"/>
          <w:lang w:val="es-MX"/>
        </w:rPr>
        <w:t>, aunque con una desaceleración gradual y con desequilibrios estructurales relevantes, particularmente en el sector inmobiliario.</w:t>
      </w:r>
    </w:p>
    <w:p w14:paraId="1471DD35" w14:textId="29872FE1" w:rsidR="000E6894" w:rsidRDefault="00CD6A7E" w:rsidP="000E6894">
      <w:pPr>
        <w:jc w:val="both"/>
        <w:rPr>
          <w:rFonts w:ascii="Times New Roman" w:hAnsi="Times New Roman" w:cs="Times New Roman"/>
          <w:lang w:val="es-MX"/>
        </w:rPr>
      </w:pPr>
      <w:r>
        <w:rPr>
          <w:rFonts w:ascii="Times New Roman" w:hAnsi="Times New Roman" w:cs="Times New Roman"/>
          <w:lang w:val="es-MX"/>
        </w:rPr>
        <w:lastRenderedPageBreak/>
        <w:t xml:space="preserve">A pesar de </w:t>
      </w:r>
      <w:r w:rsidR="00D17815">
        <w:rPr>
          <w:rFonts w:ascii="Times New Roman" w:hAnsi="Times New Roman" w:cs="Times New Roman"/>
          <w:lang w:val="es-MX"/>
        </w:rPr>
        <w:t xml:space="preserve">lo mencionado </w:t>
      </w:r>
      <w:r w:rsidR="00272E33">
        <w:rPr>
          <w:rFonts w:ascii="Times New Roman" w:hAnsi="Times New Roman" w:cs="Times New Roman"/>
          <w:lang w:val="es-MX"/>
        </w:rPr>
        <w:t>previamente</w:t>
      </w:r>
      <w:r w:rsidR="000E6894" w:rsidRPr="000E6894">
        <w:rPr>
          <w:rFonts w:ascii="Times New Roman" w:hAnsi="Times New Roman" w:cs="Times New Roman"/>
          <w:lang w:val="es-MX"/>
        </w:rPr>
        <w:t xml:space="preserve">, el escenario </w:t>
      </w:r>
      <w:r>
        <w:rPr>
          <w:rFonts w:ascii="Times New Roman" w:hAnsi="Times New Roman" w:cs="Times New Roman"/>
          <w:lang w:val="es-MX"/>
        </w:rPr>
        <w:t xml:space="preserve">internacional y </w:t>
      </w:r>
      <w:r w:rsidR="000E6894" w:rsidRPr="000E6894">
        <w:rPr>
          <w:rFonts w:ascii="Times New Roman" w:hAnsi="Times New Roman" w:cs="Times New Roman"/>
          <w:lang w:val="es-MX"/>
        </w:rPr>
        <w:t>financiero ha estado</w:t>
      </w:r>
      <w:r w:rsidR="00D17815">
        <w:rPr>
          <w:rFonts w:ascii="Times New Roman" w:hAnsi="Times New Roman" w:cs="Times New Roman"/>
          <w:lang w:val="es-MX"/>
        </w:rPr>
        <w:t xml:space="preserve"> también</w:t>
      </w:r>
      <w:r w:rsidR="000E6894" w:rsidRPr="000E6894">
        <w:rPr>
          <w:rFonts w:ascii="Times New Roman" w:hAnsi="Times New Roman" w:cs="Times New Roman"/>
          <w:lang w:val="es-MX"/>
        </w:rPr>
        <w:t xml:space="preserve"> marcado por episodios de volatilidad, vinculados a tensiones geopolíticas recientes</w:t>
      </w:r>
      <w:r>
        <w:rPr>
          <w:rFonts w:ascii="Times New Roman" w:hAnsi="Times New Roman" w:cs="Times New Roman"/>
          <w:lang w:val="es-MX"/>
        </w:rPr>
        <w:t xml:space="preserve"> en múltiples frentes. </w:t>
      </w:r>
      <w:r w:rsidRPr="00CD6A7E">
        <w:rPr>
          <w:rFonts w:ascii="Times New Roman" w:hAnsi="Times New Roman" w:cs="Times New Roman"/>
          <w:lang w:val="es-MX"/>
        </w:rPr>
        <w:t>Las protestas masivas en Irán se han transformado en este 2026 en uno de los focos de tensión más relevantes de Medio Oriente</w:t>
      </w:r>
      <w:r>
        <w:rPr>
          <w:rFonts w:ascii="Times New Roman" w:hAnsi="Times New Roman" w:cs="Times New Roman"/>
          <w:lang w:val="es-MX"/>
        </w:rPr>
        <w:t xml:space="preserve">. </w:t>
      </w:r>
      <w:r w:rsidRPr="00CD6A7E">
        <w:rPr>
          <w:rFonts w:ascii="Times New Roman" w:hAnsi="Times New Roman" w:cs="Times New Roman"/>
          <w:lang w:val="es-MX"/>
        </w:rPr>
        <w:t>A su vez, la presión de EE. UU. para asegurar influencia estratégica sobre Groenlandia ha deteriorado la relación con Dinamarca y generado fricciones dentro de la OTAN</w:t>
      </w:r>
      <w:r>
        <w:rPr>
          <w:rFonts w:ascii="Times New Roman" w:hAnsi="Times New Roman" w:cs="Times New Roman"/>
          <w:lang w:val="es-MX"/>
        </w:rPr>
        <w:t xml:space="preserve">. </w:t>
      </w:r>
      <w:r w:rsidR="002114D2">
        <w:rPr>
          <w:rFonts w:ascii="Times New Roman" w:hAnsi="Times New Roman" w:cs="Times New Roman"/>
          <w:lang w:val="es-MX"/>
        </w:rPr>
        <w:t>A lo anterior se suma la posibilidad de n</w:t>
      </w:r>
      <w:r w:rsidR="003A532F">
        <w:rPr>
          <w:rFonts w:ascii="Times New Roman" w:hAnsi="Times New Roman" w:cs="Times New Roman"/>
          <w:lang w:val="es-MX"/>
        </w:rPr>
        <w:t>uevas restricciones en</w:t>
      </w:r>
      <w:r w:rsidR="000E6894" w:rsidRPr="000E6894">
        <w:rPr>
          <w:rFonts w:ascii="Times New Roman" w:hAnsi="Times New Roman" w:cs="Times New Roman"/>
          <w:lang w:val="es-MX"/>
        </w:rPr>
        <w:t xml:space="preserve"> política comercial</w:t>
      </w:r>
      <w:r w:rsidR="003A532F">
        <w:rPr>
          <w:rFonts w:ascii="Times New Roman" w:hAnsi="Times New Roman" w:cs="Times New Roman"/>
          <w:lang w:val="es-MX"/>
        </w:rPr>
        <w:t xml:space="preserve">, riesgos de </w:t>
      </w:r>
      <w:r w:rsidR="003A532F" w:rsidRPr="003A532F">
        <w:rPr>
          <w:rFonts w:ascii="Times New Roman" w:hAnsi="Times New Roman" w:cs="Times New Roman"/>
          <w:lang w:val="es-MX"/>
        </w:rPr>
        <w:t xml:space="preserve">disrupción </w:t>
      </w:r>
      <w:r w:rsidR="003A532F">
        <w:rPr>
          <w:rFonts w:ascii="Times New Roman" w:hAnsi="Times New Roman" w:cs="Times New Roman"/>
          <w:lang w:val="es-MX"/>
        </w:rPr>
        <w:t xml:space="preserve">en </w:t>
      </w:r>
      <w:r w:rsidR="003A532F" w:rsidRPr="003A532F">
        <w:rPr>
          <w:rFonts w:ascii="Times New Roman" w:hAnsi="Times New Roman" w:cs="Times New Roman"/>
          <w:lang w:val="es-MX"/>
        </w:rPr>
        <w:t>cadenas logísticas, especialmente marítimas</w:t>
      </w:r>
      <w:r w:rsidR="003A532F">
        <w:rPr>
          <w:rFonts w:ascii="Times New Roman" w:hAnsi="Times New Roman" w:cs="Times New Roman"/>
          <w:lang w:val="es-MX"/>
        </w:rPr>
        <w:t>,</w:t>
      </w:r>
      <w:r w:rsidR="000E6894" w:rsidRPr="000E6894">
        <w:rPr>
          <w:rFonts w:ascii="Times New Roman" w:hAnsi="Times New Roman" w:cs="Times New Roman"/>
          <w:lang w:val="es-MX"/>
        </w:rPr>
        <w:t xml:space="preserve"> y </w:t>
      </w:r>
      <w:r w:rsidR="00B90FAB">
        <w:rPr>
          <w:rFonts w:ascii="Times New Roman" w:hAnsi="Times New Roman" w:cs="Times New Roman"/>
          <w:lang w:val="es-MX"/>
        </w:rPr>
        <w:t xml:space="preserve">otros </w:t>
      </w:r>
      <w:r w:rsidR="00596DD8">
        <w:rPr>
          <w:rFonts w:ascii="Times New Roman" w:hAnsi="Times New Roman" w:cs="Times New Roman"/>
          <w:lang w:val="es-MX"/>
        </w:rPr>
        <w:t xml:space="preserve">eventos </w:t>
      </w:r>
      <w:r w:rsidR="002114D2">
        <w:rPr>
          <w:rFonts w:ascii="Times New Roman" w:hAnsi="Times New Roman" w:cs="Times New Roman"/>
          <w:lang w:val="es-MX"/>
        </w:rPr>
        <w:t xml:space="preserve">en EE.UU. </w:t>
      </w:r>
      <w:r w:rsidR="00596DD8">
        <w:rPr>
          <w:rFonts w:ascii="Times New Roman" w:hAnsi="Times New Roman" w:cs="Times New Roman"/>
          <w:lang w:val="es-MX"/>
        </w:rPr>
        <w:t>que</w:t>
      </w:r>
      <w:r w:rsidR="00B90FAB">
        <w:rPr>
          <w:rFonts w:ascii="Times New Roman" w:hAnsi="Times New Roman" w:cs="Times New Roman"/>
          <w:lang w:val="es-MX"/>
        </w:rPr>
        <w:t>, entre otros efectos,</w:t>
      </w:r>
      <w:r w:rsidR="00596DD8">
        <w:rPr>
          <w:rFonts w:ascii="Times New Roman" w:hAnsi="Times New Roman" w:cs="Times New Roman"/>
          <w:lang w:val="es-MX"/>
        </w:rPr>
        <w:t xml:space="preserve"> pueden socavar la credibilidad </w:t>
      </w:r>
      <w:r w:rsidR="000E6894" w:rsidRPr="000E6894">
        <w:rPr>
          <w:rFonts w:ascii="Times New Roman" w:hAnsi="Times New Roman" w:cs="Times New Roman"/>
          <w:lang w:val="es-MX"/>
        </w:rPr>
        <w:t>institucional</w:t>
      </w:r>
      <w:r w:rsidR="007738AB">
        <w:rPr>
          <w:rFonts w:ascii="Times New Roman" w:hAnsi="Times New Roman" w:cs="Times New Roman"/>
          <w:lang w:val="es-MX"/>
        </w:rPr>
        <w:t xml:space="preserve"> de la política económica</w:t>
      </w:r>
      <w:r w:rsidR="00596DD8">
        <w:rPr>
          <w:rFonts w:ascii="Times New Roman" w:hAnsi="Times New Roman" w:cs="Times New Roman"/>
          <w:lang w:val="es-MX"/>
        </w:rPr>
        <w:t>. Los factores anteriores parecen haber</w:t>
      </w:r>
      <w:r w:rsidR="000E6894" w:rsidRPr="000E6894">
        <w:rPr>
          <w:rFonts w:ascii="Times New Roman" w:hAnsi="Times New Roman" w:cs="Times New Roman"/>
          <w:lang w:val="es-MX"/>
        </w:rPr>
        <w:t xml:space="preserve"> incidido en movimientos en las tasas largas y en el</w:t>
      </w:r>
      <w:r w:rsidR="00596DD8">
        <w:rPr>
          <w:rFonts w:ascii="Times New Roman" w:hAnsi="Times New Roman" w:cs="Times New Roman"/>
          <w:lang w:val="es-MX"/>
        </w:rPr>
        <w:t xml:space="preserve"> valor del dólar a nivel multilateral</w:t>
      </w:r>
      <w:r w:rsidR="002114D2">
        <w:rPr>
          <w:rFonts w:ascii="Times New Roman" w:hAnsi="Times New Roman" w:cs="Times New Roman"/>
          <w:lang w:val="es-MX"/>
        </w:rPr>
        <w:t xml:space="preserve">, pero sus </w:t>
      </w:r>
      <w:r w:rsidR="00272E33">
        <w:rPr>
          <w:rFonts w:ascii="Times New Roman" w:hAnsi="Times New Roman" w:cs="Times New Roman"/>
          <w:lang w:val="es-MX"/>
        </w:rPr>
        <w:t>eventuales</w:t>
      </w:r>
      <w:r w:rsidR="002114D2">
        <w:rPr>
          <w:rFonts w:ascii="Times New Roman" w:hAnsi="Times New Roman" w:cs="Times New Roman"/>
          <w:lang w:val="es-MX"/>
        </w:rPr>
        <w:t xml:space="preserve"> efectos de mediano plazo podrían ser más adversos</w:t>
      </w:r>
      <w:r w:rsidR="000E6894" w:rsidRPr="000E6894">
        <w:rPr>
          <w:rFonts w:ascii="Times New Roman" w:hAnsi="Times New Roman" w:cs="Times New Roman"/>
          <w:lang w:val="es-MX"/>
        </w:rPr>
        <w:t>.</w:t>
      </w:r>
    </w:p>
    <w:p w14:paraId="01702989" w14:textId="6B1161C6" w:rsidR="007926DB" w:rsidRDefault="007926DB" w:rsidP="000E6894">
      <w:pPr>
        <w:jc w:val="both"/>
        <w:rPr>
          <w:rFonts w:ascii="Times New Roman" w:hAnsi="Times New Roman" w:cs="Times New Roman"/>
          <w:lang w:val="es-MX"/>
        </w:rPr>
      </w:pPr>
      <w:r w:rsidRPr="007926DB">
        <w:rPr>
          <w:rFonts w:ascii="Times New Roman" w:hAnsi="Times New Roman" w:cs="Times New Roman"/>
          <w:lang w:val="es-MX"/>
        </w:rPr>
        <w:t>Un elemento adicional del escenario internacional reciente ha sido el renovado impulso de los mercados bursátiles en economías avanzadas, particularmente en E</w:t>
      </w:r>
      <w:r w:rsidR="00364DE7">
        <w:rPr>
          <w:rFonts w:ascii="Times New Roman" w:hAnsi="Times New Roman" w:cs="Times New Roman"/>
          <w:lang w:val="es-MX"/>
        </w:rPr>
        <w:t>E</w:t>
      </w:r>
      <w:r w:rsidR="00ED4235">
        <w:rPr>
          <w:rFonts w:ascii="Times New Roman" w:hAnsi="Times New Roman" w:cs="Times New Roman"/>
          <w:lang w:val="es-MX"/>
        </w:rPr>
        <w:t>.</w:t>
      </w:r>
      <w:r w:rsidR="00364DE7">
        <w:rPr>
          <w:rFonts w:ascii="Times New Roman" w:hAnsi="Times New Roman" w:cs="Times New Roman"/>
          <w:lang w:val="es-MX"/>
        </w:rPr>
        <w:t>UU</w:t>
      </w:r>
      <w:r w:rsidR="00ED4235">
        <w:rPr>
          <w:rFonts w:ascii="Times New Roman" w:hAnsi="Times New Roman" w:cs="Times New Roman"/>
          <w:lang w:val="es-MX"/>
        </w:rPr>
        <w:t>.</w:t>
      </w:r>
      <w:r w:rsidRPr="007926DB">
        <w:rPr>
          <w:rFonts w:ascii="Times New Roman" w:hAnsi="Times New Roman" w:cs="Times New Roman"/>
          <w:lang w:val="es-MX"/>
        </w:rPr>
        <w:t>, asociado a las expectativas en torno a la inversión y adopción de tecnologías de inteligencia artificial</w:t>
      </w:r>
      <w:r w:rsidR="00811C46">
        <w:rPr>
          <w:rFonts w:ascii="Times New Roman" w:hAnsi="Times New Roman" w:cs="Times New Roman"/>
          <w:lang w:val="es-MX"/>
        </w:rPr>
        <w:t xml:space="preserve"> (IA)</w:t>
      </w:r>
      <w:r w:rsidRPr="007926DB">
        <w:rPr>
          <w:rFonts w:ascii="Times New Roman" w:hAnsi="Times New Roman" w:cs="Times New Roman"/>
          <w:lang w:val="es-MX"/>
        </w:rPr>
        <w:t>. Este fenómeno ha contribuido a sostener valoraciones</w:t>
      </w:r>
      <w:r w:rsidR="007738AB">
        <w:rPr>
          <w:rFonts w:ascii="Times New Roman" w:hAnsi="Times New Roman" w:cs="Times New Roman"/>
          <w:lang w:val="es-MX"/>
        </w:rPr>
        <w:t xml:space="preserve"> accionarias</w:t>
      </w:r>
      <w:r w:rsidRPr="007926DB">
        <w:rPr>
          <w:rFonts w:ascii="Times New Roman" w:hAnsi="Times New Roman" w:cs="Times New Roman"/>
          <w:lang w:val="es-MX"/>
        </w:rPr>
        <w:t xml:space="preserve"> elevadas </w:t>
      </w:r>
      <w:r w:rsidR="007738AB">
        <w:rPr>
          <w:rFonts w:ascii="Times New Roman" w:hAnsi="Times New Roman" w:cs="Times New Roman"/>
          <w:lang w:val="es-MX"/>
        </w:rPr>
        <w:t>d</w:t>
      </w:r>
      <w:r w:rsidRPr="007926DB">
        <w:rPr>
          <w:rFonts w:ascii="Times New Roman" w:hAnsi="Times New Roman" w:cs="Times New Roman"/>
          <w:lang w:val="es-MX"/>
        </w:rPr>
        <w:t>el sector tecnológico y a reforzar el apetito por riesgo a nivel global. Más allá de sus efectos financieros de corto plazo</w:t>
      </w:r>
      <w:r w:rsidR="007738AB">
        <w:rPr>
          <w:rFonts w:ascii="Times New Roman" w:hAnsi="Times New Roman" w:cs="Times New Roman"/>
          <w:lang w:val="es-MX"/>
        </w:rPr>
        <w:t xml:space="preserve"> vinculados también a mayor endeudamiento de empresas tecnológicas</w:t>
      </w:r>
      <w:r w:rsidRPr="007926DB">
        <w:rPr>
          <w:rFonts w:ascii="Times New Roman" w:hAnsi="Times New Roman" w:cs="Times New Roman"/>
          <w:lang w:val="es-MX"/>
        </w:rPr>
        <w:t xml:space="preserve">, algunos indicadores comienzan a sugerir que la inversión vinculada a la IA podría estar teniendo impactos incipientes sobre la </w:t>
      </w:r>
      <w:r w:rsidR="007738AB">
        <w:rPr>
          <w:rFonts w:ascii="Times New Roman" w:hAnsi="Times New Roman" w:cs="Times New Roman"/>
          <w:lang w:val="es-MX"/>
        </w:rPr>
        <w:t xml:space="preserve">capacidad productiva </w:t>
      </w:r>
      <w:r w:rsidRPr="007926DB">
        <w:rPr>
          <w:rFonts w:ascii="Times New Roman" w:hAnsi="Times New Roman" w:cs="Times New Roman"/>
          <w:lang w:val="es-MX"/>
        </w:rPr>
        <w:t>en E</w:t>
      </w:r>
      <w:r w:rsidR="00364DE7">
        <w:rPr>
          <w:rFonts w:ascii="Times New Roman" w:hAnsi="Times New Roman" w:cs="Times New Roman"/>
          <w:lang w:val="es-MX"/>
        </w:rPr>
        <w:t>E</w:t>
      </w:r>
      <w:r w:rsidR="00ED4235">
        <w:rPr>
          <w:rFonts w:ascii="Times New Roman" w:hAnsi="Times New Roman" w:cs="Times New Roman"/>
          <w:lang w:val="es-MX"/>
        </w:rPr>
        <w:t>.</w:t>
      </w:r>
      <w:r w:rsidR="00364DE7">
        <w:rPr>
          <w:rFonts w:ascii="Times New Roman" w:hAnsi="Times New Roman" w:cs="Times New Roman"/>
          <w:lang w:val="es-MX"/>
        </w:rPr>
        <w:t>UU</w:t>
      </w:r>
      <w:r w:rsidR="00ED4235">
        <w:rPr>
          <w:rFonts w:ascii="Times New Roman" w:hAnsi="Times New Roman" w:cs="Times New Roman"/>
          <w:lang w:val="es-MX"/>
        </w:rPr>
        <w:t>.</w:t>
      </w:r>
      <w:r w:rsidRPr="007926DB">
        <w:rPr>
          <w:rFonts w:ascii="Times New Roman" w:hAnsi="Times New Roman" w:cs="Times New Roman"/>
          <w:lang w:val="es-MX"/>
        </w:rPr>
        <w:t>, reflejados en una aceleración reciente del crecimiento de la productividad laboral</w:t>
      </w:r>
      <w:r w:rsidR="007738AB">
        <w:rPr>
          <w:rFonts w:ascii="Times New Roman" w:hAnsi="Times New Roman" w:cs="Times New Roman"/>
          <w:lang w:val="es-MX"/>
        </w:rPr>
        <w:t xml:space="preserve">, ayudando a que la economía </w:t>
      </w:r>
      <w:r w:rsidR="006D19EA">
        <w:rPr>
          <w:rFonts w:ascii="Times New Roman" w:hAnsi="Times New Roman" w:cs="Times New Roman"/>
          <w:lang w:val="es-MX"/>
        </w:rPr>
        <w:t xml:space="preserve">norteamericana </w:t>
      </w:r>
      <w:r w:rsidR="007738AB">
        <w:rPr>
          <w:rFonts w:ascii="Times New Roman" w:hAnsi="Times New Roman" w:cs="Times New Roman"/>
          <w:lang w:val="es-MX"/>
        </w:rPr>
        <w:t>se ha</w:t>
      </w:r>
      <w:r w:rsidR="006D19EA">
        <w:rPr>
          <w:rFonts w:ascii="Times New Roman" w:hAnsi="Times New Roman" w:cs="Times New Roman"/>
          <w:lang w:val="es-MX"/>
        </w:rPr>
        <w:t>ya</w:t>
      </w:r>
      <w:r w:rsidR="007738AB">
        <w:rPr>
          <w:rFonts w:ascii="Times New Roman" w:hAnsi="Times New Roman" w:cs="Times New Roman"/>
          <w:lang w:val="es-MX"/>
        </w:rPr>
        <w:t xml:space="preserve"> mostrado relativamente inmune a los efectos adversos de la guerra comercial</w:t>
      </w:r>
      <w:r w:rsidRPr="007926DB">
        <w:rPr>
          <w:rFonts w:ascii="Times New Roman" w:hAnsi="Times New Roman" w:cs="Times New Roman"/>
          <w:lang w:val="es-MX"/>
        </w:rPr>
        <w:t xml:space="preserve">. No obstante, la evidencia disponible sigue siendo preliminar y no permite aún concluir que se trate de un cambio estructural persistente. En este contexto, si bien un mayor crecimiento de la productividad en economías avanzadas podría elevar el crecimiento potencial y </w:t>
      </w:r>
      <w:r w:rsidR="007738AB">
        <w:rPr>
          <w:rFonts w:ascii="Times New Roman" w:hAnsi="Times New Roman" w:cs="Times New Roman"/>
          <w:lang w:val="es-MX"/>
        </w:rPr>
        <w:t>a</w:t>
      </w:r>
      <w:r w:rsidR="00811C46">
        <w:rPr>
          <w:rFonts w:ascii="Times New Roman" w:hAnsi="Times New Roman" w:cs="Times New Roman"/>
          <w:lang w:val="es-MX"/>
        </w:rPr>
        <w:t>yudar a</w:t>
      </w:r>
      <w:r w:rsidR="007738AB">
        <w:rPr>
          <w:rFonts w:ascii="Times New Roman" w:hAnsi="Times New Roman" w:cs="Times New Roman"/>
          <w:lang w:val="es-MX"/>
        </w:rPr>
        <w:t xml:space="preserve"> que el proceso de desinflación sea más duradero </w:t>
      </w:r>
      <w:r w:rsidRPr="007926DB">
        <w:rPr>
          <w:rFonts w:ascii="Times New Roman" w:hAnsi="Times New Roman" w:cs="Times New Roman"/>
          <w:lang w:val="es-MX"/>
        </w:rPr>
        <w:t xml:space="preserve">a mediano plazo, también existe el riesgo de episodios de corrección </w:t>
      </w:r>
      <w:r w:rsidR="00364DE7">
        <w:rPr>
          <w:rFonts w:ascii="Times New Roman" w:hAnsi="Times New Roman" w:cs="Times New Roman"/>
          <w:lang w:val="es-MX"/>
        </w:rPr>
        <w:t>en los indicadores bursátiles</w:t>
      </w:r>
      <w:r w:rsidRPr="007926DB">
        <w:rPr>
          <w:rFonts w:ascii="Times New Roman" w:hAnsi="Times New Roman" w:cs="Times New Roman"/>
          <w:lang w:val="es-MX"/>
        </w:rPr>
        <w:t xml:space="preserve"> si las expectativas de rentabilidad asociadas a la IA no se materializan plenamente.</w:t>
      </w:r>
    </w:p>
    <w:p w14:paraId="140A8F4D" w14:textId="00A64DD3" w:rsidR="007926DB" w:rsidRPr="000E6894" w:rsidRDefault="007926DB" w:rsidP="000E6894">
      <w:pPr>
        <w:jc w:val="both"/>
        <w:rPr>
          <w:rFonts w:ascii="Times New Roman" w:hAnsi="Times New Roman" w:cs="Times New Roman"/>
          <w:lang w:val="es-MX"/>
        </w:rPr>
      </w:pPr>
      <w:r w:rsidRPr="007926DB">
        <w:rPr>
          <w:rFonts w:ascii="Times New Roman" w:hAnsi="Times New Roman" w:cs="Times New Roman"/>
          <w:lang w:val="es-MX"/>
        </w:rPr>
        <w:t xml:space="preserve">En paralelo, el escenario internacional reciente </w:t>
      </w:r>
      <w:r w:rsidR="00CE47EE">
        <w:rPr>
          <w:rFonts w:ascii="Times New Roman" w:hAnsi="Times New Roman" w:cs="Times New Roman"/>
          <w:lang w:val="es-MX"/>
        </w:rPr>
        <w:t xml:space="preserve">también ha impactado </w:t>
      </w:r>
      <w:r w:rsidRPr="007926DB">
        <w:rPr>
          <w:rFonts w:ascii="Times New Roman" w:hAnsi="Times New Roman" w:cs="Times New Roman"/>
          <w:lang w:val="es-MX"/>
        </w:rPr>
        <w:t xml:space="preserve">los mercados de materias primas. En el caso del cobre, </w:t>
      </w:r>
      <w:r w:rsidR="00CE47EE">
        <w:rPr>
          <w:rFonts w:ascii="Times New Roman" w:hAnsi="Times New Roman" w:cs="Times New Roman"/>
          <w:lang w:val="es-MX"/>
        </w:rPr>
        <w:t xml:space="preserve">se ha configurado </w:t>
      </w:r>
      <w:r w:rsidRPr="007926DB">
        <w:rPr>
          <w:rFonts w:ascii="Times New Roman" w:hAnsi="Times New Roman" w:cs="Times New Roman"/>
          <w:lang w:val="es-MX"/>
        </w:rPr>
        <w:t>un escenario de precios elevados,</w:t>
      </w:r>
      <w:r w:rsidR="00364DE7">
        <w:rPr>
          <w:rFonts w:ascii="Times New Roman" w:hAnsi="Times New Roman" w:cs="Times New Roman"/>
          <w:lang w:val="es-MX"/>
        </w:rPr>
        <w:t xml:space="preserve"> observando una cotización en torno a los 6 dólares la libra en las semanas reciente</w:t>
      </w:r>
      <w:r w:rsidR="00C14D9E">
        <w:rPr>
          <w:rFonts w:ascii="Times New Roman" w:hAnsi="Times New Roman" w:cs="Times New Roman"/>
          <w:lang w:val="es-MX"/>
        </w:rPr>
        <w:t>s</w:t>
      </w:r>
      <w:r w:rsidR="00364DE7">
        <w:rPr>
          <w:rFonts w:ascii="Times New Roman" w:hAnsi="Times New Roman" w:cs="Times New Roman"/>
          <w:lang w:val="es-MX"/>
        </w:rPr>
        <w:t xml:space="preserve">. </w:t>
      </w:r>
      <w:r w:rsidRPr="007926DB">
        <w:rPr>
          <w:rFonts w:ascii="Times New Roman" w:hAnsi="Times New Roman" w:cs="Times New Roman"/>
          <w:lang w:val="es-MX"/>
        </w:rPr>
        <w:t xml:space="preserve"> </w:t>
      </w:r>
      <w:r w:rsidR="00364DE7">
        <w:rPr>
          <w:rFonts w:ascii="Times New Roman" w:hAnsi="Times New Roman" w:cs="Times New Roman"/>
          <w:lang w:val="es-MX"/>
        </w:rPr>
        <w:t xml:space="preserve">Este mayor precio del cobre parece </w:t>
      </w:r>
      <w:r w:rsidR="00C14D9E">
        <w:rPr>
          <w:rFonts w:ascii="Times New Roman" w:hAnsi="Times New Roman" w:cs="Times New Roman"/>
          <w:lang w:val="es-MX"/>
        </w:rPr>
        <w:t xml:space="preserve">estar </w:t>
      </w:r>
      <w:r w:rsidRPr="007926DB">
        <w:rPr>
          <w:rFonts w:ascii="Times New Roman" w:hAnsi="Times New Roman" w:cs="Times New Roman"/>
          <w:lang w:val="es-MX"/>
        </w:rPr>
        <w:t>asociado a restricciones de oferta</w:t>
      </w:r>
      <w:r w:rsidR="00596DD8">
        <w:rPr>
          <w:rFonts w:ascii="Times New Roman" w:hAnsi="Times New Roman" w:cs="Times New Roman"/>
          <w:lang w:val="es-MX"/>
        </w:rPr>
        <w:t xml:space="preserve">, </w:t>
      </w:r>
      <w:r w:rsidRPr="007926DB">
        <w:rPr>
          <w:rFonts w:ascii="Times New Roman" w:hAnsi="Times New Roman" w:cs="Times New Roman"/>
          <w:lang w:val="es-MX"/>
        </w:rPr>
        <w:t>expectativas de mayor demanda vinculada a la transición energética y a la inversión en infraestructura tecnológica. En contraste, el precio del petróleo ha mostrado una respuesta más acotada y volátil frente a l</w:t>
      </w:r>
      <w:r w:rsidR="00C14D9E">
        <w:rPr>
          <w:rFonts w:ascii="Times New Roman" w:hAnsi="Times New Roman" w:cs="Times New Roman"/>
          <w:lang w:val="es-MX"/>
        </w:rPr>
        <w:t>as tensiones</w:t>
      </w:r>
      <w:r w:rsidRPr="007926DB">
        <w:rPr>
          <w:rFonts w:ascii="Times New Roman" w:hAnsi="Times New Roman" w:cs="Times New Roman"/>
          <w:lang w:val="es-MX"/>
        </w:rPr>
        <w:t xml:space="preserve"> geopolític</w:t>
      </w:r>
      <w:r w:rsidR="00C14D9E">
        <w:rPr>
          <w:rFonts w:ascii="Times New Roman" w:hAnsi="Times New Roman" w:cs="Times New Roman"/>
          <w:lang w:val="es-MX"/>
        </w:rPr>
        <w:t>a</w:t>
      </w:r>
      <w:r w:rsidRPr="007926DB">
        <w:rPr>
          <w:rFonts w:ascii="Times New Roman" w:hAnsi="Times New Roman" w:cs="Times New Roman"/>
          <w:lang w:val="es-MX"/>
        </w:rPr>
        <w:t>s, reflejando la existencia de holguras en la oferta global</w:t>
      </w:r>
      <w:r w:rsidR="00D63042">
        <w:rPr>
          <w:rFonts w:ascii="Times New Roman" w:hAnsi="Times New Roman" w:cs="Times New Roman"/>
          <w:lang w:val="es-MX"/>
        </w:rPr>
        <w:t xml:space="preserve"> y</w:t>
      </w:r>
      <w:r w:rsidRPr="007926DB">
        <w:rPr>
          <w:rFonts w:ascii="Times New Roman" w:hAnsi="Times New Roman" w:cs="Times New Roman"/>
          <w:lang w:val="es-MX"/>
        </w:rPr>
        <w:t xml:space="preserve"> niveles elevados de inventarios. </w:t>
      </w:r>
      <w:r w:rsidR="00CE47EE">
        <w:rPr>
          <w:rFonts w:ascii="Times New Roman" w:hAnsi="Times New Roman" w:cs="Times New Roman"/>
          <w:lang w:val="es-MX"/>
        </w:rPr>
        <w:t>Con todo</w:t>
      </w:r>
      <w:r w:rsidRPr="007926DB">
        <w:rPr>
          <w:rFonts w:ascii="Times New Roman" w:hAnsi="Times New Roman" w:cs="Times New Roman"/>
          <w:lang w:val="es-MX"/>
        </w:rPr>
        <w:t xml:space="preserve">, esta divergencia en el comportamiento de las materias primas ha tendido a favorecer los términos de intercambio de economías exportadoras de metales </w:t>
      </w:r>
      <w:r w:rsidR="003A532F" w:rsidRPr="003A532F">
        <w:rPr>
          <w:rFonts w:ascii="Times New Roman" w:hAnsi="Times New Roman" w:cs="Times New Roman"/>
          <w:lang w:val="es-MX"/>
        </w:rPr>
        <w:t xml:space="preserve">e importadoras de petróleo </w:t>
      </w:r>
      <w:r w:rsidRPr="007926DB">
        <w:rPr>
          <w:rFonts w:ascii="Times New Roman" w:hAnsi="Times New Roman" w:cs="Times New Roman"/>
          <w:lang w:val="es-MX"/>
        </w:rPr>
        <w:t>como Chile, al tiempo que ha limitado las presiones inflacionarias importadas asociadas a la energía</w:t>
      </w:r>
      <w:r w:rsidR="00B90FAB">
        <w:rPr>
          <w:rFonts w:ascii="Times New Roman" w:hAnsi="Times New Roman" w:cs="Times New Roman"/>
          <w:lang w:val="es-MX"/>
        </w:rPr>
        <w:t xml:space="preserve"> y los bienes transables</w:t>
      </w:r>
      <w:r w:rsidR="00542F21">
        <w:rPr>
          <w:rFonts w:ascii="Times New Roman" w:hAnsi="Times New Roman" w:cs="Times New Roman"/>
          <w:lang w:val="es-MX"/>
        </w:rPr>
        <w:t xml:space="preserve"> por apreciación del peso</w:t>
      </w:r>
      <w:r w:rsidRPr="007926DB">
        <w:rPr>
          <w:rFonts w:ascii="Times New Roman" w:hAnsi="Times New Roman" w:cs="Times New Roman"/>
          <w:lang w:val="es-MX"/>
        </w:rPr>
        <w:t>.</w:t>
      </w:r>
    </w:p>
    <w:p w14:paraId="6F3FEC9A" w14:textId="07043B66" w:rsidR="000E6894" w:rsidRPr="000E6894" w:rsidRDefault="000E6894" w:rsidP="000E6894">
      <w:pPr>
        <w:jc w:val="both"/>
        <w:rPr>
          <w:rFonts w:ascii="Times New Roman" w:hAnsi="Times New Roman" w:cs="Times New Roman"/>
          <w:lang w:val="es-MX"/>
        </w:rPr>
      </w:pPr>
      <w:r w:rsidRPr="000E6894">
        <w:rPr>
          <w:rFonts w:ascii="Times New Roman" w:hAnsi="Times New Roman" w:cs="Times New Roman"/>
          <w:lang w:val="es-MX"/>
        </w:rPr>
        <w:t>En el plano local, la actividad económica continúa mostrando</w:t>
      </w:r>
      <w:r w:rsidR="00500179">
        <w:rPr>
          <w:rFonts w:ascii="Times New Roman" w:hAnsi="Times New Roman" w:cs="Times New Roman"/>
          <w:lang w:val="es-MX"/>
        </w:rPr>
        <w:t xml:space="preserve"> una recuperación de su dinamismo</w:t>
      </w:r>
      <w:r w:rsidRPr="000E6894">
        <w:rPr>
          <w:rFonts w:ascii="Times New Roman" w:hAnsi="Times New Roman" w:cs="Times New Roman"/>
          <w:lang w:val="es-MX"/>
        </w:rPr>
        <w:t xml:space="preserve">, aunque </w:t>
      </w:r>
      <w:r w:rsidR="003A532F">
        <w:rPr>
          <w:rFonts w:ascii="Times New Roman" w:hAnsi="Times New Roman" w:cs="Times New Roman"/>
          <w:lang w:val="es-MX"/>
        </w:rPr>
        <w:t xml:space="preserve">no necesariamente robusta y </w:t>
      </w:r>
      <w:r w:rsidRPr="000E6894">
        <w:rPr>
          <w:rFonts w:ascii="Times New Roman" w:hAnsi="Times New Roman" w:cs="Times New Roman"/>
          <w:lang w:val="es-MX"/>
        </w:rPr>
        <w:t>con señales de pérdida de impulso en el margen</w:t>
      </w:r>
      <w:r w:rsidR="00500179">
        <w:rPr>
          <w:rFonts w:ascii="Times New Roman" w:hAnsi="Times New Roman" w:cs="Times New Roman"/>
          <w:lang w:val="es-MX"/>
        </w:rPr>
        <w:t xml:space="preserve"> en lo más reciente</w:t>
      </w:r>
      <w:r w:rsidRPr="000E6894">
        <w:rPr>
          <w:rFonts w:ascii="Times New Roman" w:hAnsi="Times New Roman" w:cs="Times New Roman"/>
          <w:lang w:val="es-MX"/>
        </w:rPr>
        <w:t>.</w:t>
      </w:r>
      <w:r w:rsidR="00500179">
        <w:rPr>
          <w:rFonts w:ascii="Times New Roman" w:hAnsi="Times New Roman" w:cs="Times New Roman"/>
          <w:lang w:val="es-MX"/>
        </w:rPr>
        <w:t xml:space="preserve"> Así, e</w:t>
      </w:r>
      <w:r w:rsidRPr="000E6894">
        <w:rPr>
          <w:rFonts w:ascii="Times New Roman" w:hAnsi="Times New Roman" w:cs="Times New Roman"/>
          <w:lang w:val="es-MX"/>
        </w:rPr>
        <w:t xml:space="preserve">l </w:t>
      </w:r>
      <w:r w:rsidR="00913A82">
        <w:rPr>
          <w:rFonts w:ascii="Times New Roman" w:hAnsi="Times New Roman" w:cs="Times New Roman"/>
          <w:lang w:val="es-MX"/>
        </w:rPr>
        <w:t>IMACEC</w:t>
      </w:r>
      <w:r w:rsidR="00913A82" w:rsidRPr="00913A82">
        <w:rPr>
          <w:rFonts w:ascii="Times New Roman" w:hAnsi="Times New Roman" w:cs="Times New Roman"/>
          <w:lang w:val="es-MX"/>
        </w:rPr>
        <w:t xml:space="preserve"> de noviembre de 2025 creció 1,2% en comparación con igual mes del año anterior</w:t>
      </w:r>
      <w:r w:rsidR="00913A82">
        <w:rPr>
          <w:rFonts w:ascii="Times New Roman" w:hAnsi="Times New Roman" w:cs="Times New Roman"/>
          <w:lang w:val="es-MX"/>
        </w:rPr>
        <w:t xml:space="preserve">. Esta cifra estuvo por </w:t>
      </w:r>
      <w:r w:rsidRPr="000E6894">
        <w:rPr>
          <w:rFonts w:ascii="Times New Roman" w:hAnsi="Times New Roman" w:cs="Times New Roman"/>
          <w:lang w:val="es-MX"/>
        </w:rPr>
        <w:t>debajo de lo esperado</w:t>
      </w:r>
      <w:r w:rsidR="00913A82">
        <w:rPr>
          <w:rFonts w:ascii="Times New Roman" w:hAnsi="Times New Roman" w:cs="Times New Roman"/>
          <w:lang w:val="es-MX"/>
        </w:rPr>
        <w:t xml:space="preserve"> y </w:t>
      </w:r>
      <w:r w:rsidRPr="000E6894">
        <w:rPr>
          <w:rFonts w:ascii="Times New Roman" w:hAnsi="Times New Roman" w:cs="Times New Roman"/>
          <w:lang w:val="es-MX"/>
        </w:rPr>
        <w:t>afectad</w:t>
      </w:r>
      <w:r w:rsidR="00364DE7">
        <w:rPr>
          <w:rFonts w:ascii="Times New Roman" w:hAnsi="Times New Roman" w:cs="Times New Roman"/>
          <w:lang w:val="es-MX"/>
        </w:rPr>
        <w:t>a</w:t>
      </w:r>
      <w:r w:rsidR="00913A82">
        <w:rPr>
          <w:rFonts w:ascii="Times New Roman" w:hAnsi="Times New Roman" w:cs="Times New Roman"/>
          <w:lang w:val="es-MX"/>
        </w:rPr>
        <w:t xml:space="preserve"> adversamente</w:t>
      </w:r>
      <w:r w:rsidRPr="000E6894">
        <w:rPr>
          <w:rFonts w:ascii="Times New Roman" w:hAnsi="Times New Roman" w:cs="Times New Roman"/>
          <w:lang w:val="es-MX"/>
        </w:rPr>
        <w:t xml:space="preserve"> </w:t>
      </w:r>
      <w:r w:rsidR="00913A82" w:rsidRPr="00913A82">
        <w:rPr>
          <w:rFonts w:ascii="Times New Roman" w:hAnsi="Times New Roman" w:cs="Times New Roman"/>
          <w:lang w:val="es-MX"/>
        </w:rPr>
        <w:t>por la menor producción de la minería</w:t>
      </w:r>
      <w:r w:rsidR="00913A82">
        <w:rPr>
          <w:rFonts w:ascii="Times New Roman" w:hAnsi="Times New Roman" w:cs="Times New Roman"/>
          <w:lang w:val="es-MX"/>
        </w:rPr>
        <w:t xml:space="preserve">. En contraste, el PIB no minero creció 1,7% de manera interanual en noviembre, impulsado principalmente por </w:t>
      </w:r>
      <w:r w:rsidR="00913A82" w:rsidRPr="00913A82">
        <w:rPr>
          <w:rFonts w:ascii="Times New Roman" w:hAnsi="Times New Roman" w:cs="Times New Roman"/>
          <w:lang w:val="es-MX"/>
        </w:rPr>
        <w:t>los servicios y el comercio</w:t>
      </w:r>
      <w:r w:rsidRPr="000E6894">
        <w:rPr>
          <w:rFonts w:ascii="Times New Roman" w:hAnsi="Times New Roman" w:cs="Times New Roman"/>
          <w:lang w:val="es-MX"/>
        </w:rPr>
        <w:t xml:space="preserve">, aunque a tasas </w:t>
      </w:r>
      <w:r w:rsidR="00C15109">
        <w:rPr>
          <w:rFonts w:ascii="Times New Roman" w:hAnsi="Times New Roman" w:cs="Times New Roman"/>
          <w:lang w:val="es-MX"/>
        </w:rPr>
        <w:t xml:space="preserve">un poco </w:t>
      </w:r>
      <w:r w:rsidRPr="000E6894">
        <w:rPr>
          <w:rFonts w:ascii="Times New Roman" w:hAnsi="Times New Roman" w:cs="Times New Roman"/>
          <w:lang w:val="es-MX"/>
        </w:rPr>
        <w:t>más moderadas</w:t>
      </w:r>
      <w:r w:rsidR="00C15109">
        <w:rPr>
          <w:rFonts w:ascii="Times New Roman" w:hAnsi="Times New Roman" w:cs="Times New Roman"/>
          <w:lang w:val="es-MX"/>
        </w:rPr>
        <w:t xml:space="preserve"> que en los meses previos</w:t>
      </w:r>
      <w:r w:rsidRPr="000E6894">
        <w:rPr>
          <w:rFonts w:ascii="Times New Roman" w:hAnsi="Times New Roman" w:cs="Times New Roman"/>
          <w:lang w:val="es-MX"/>
        </w:rPr>
        <w:t>.</w:t>
      </w:r>
      <w:r w:rsidR="00500179">
        <w:rPr>
          <w:rFonts w:ascii="Times New Roman" w:hAnsi="Times New Roman" w:cs="Times New Roman"/>
          <w:lang w:val="es-MX"/>
        </w:rPr>
        <w:t xml:space="preserve"> Al mismo tiempo</w:t>
      </w:r>
      <w:r w:rsidR="00002EDA">
        <w:rPr>
          <w:rFonts w:ascii="Times New Roman" w:hAnsi="Times New Roman" w:cs="Times New Roman"/>
          <w:lang w:val="es-MX"/>
        </w:rPr>
        <w:t>,</w:t>
      </w:r>
      <w:r w:rsidR="00500179">
        <w:rPr>
          <w:rFonts w:ascii="Times New Roman" w:hAnsi="Times New Roman" w:cs="Times New Roman"/>
          <w:lang w:val="es-MX"/>
        </w:rPr>
        <w:t xml:space="preserve"> las expectativas de crecimiento para la economía </w:t>
      </w:r>
      <w:r w:rsidR="00D63042">
        <w:rPr>
          <w:rFonts w:ascii="Times New Roman" w:hAnsi="Times New Roman" w:cs="Times New Roman"/>
          <w:lang w:val="es-MX"/>
        </w:rPr>
        <w:t>chilena</w:t>
      </w:r>
      <w:r w:rsidR="00500179">
        <w:rPr>
          <w:rFonts w:ascii="Times New Roman" w:hAnsi="Times New Roman" w:cs="Times New Roman"/>
          <w:lang w:val="es-MX"/>
        </w:rPr>
        <w:t xml:space="preserve"> en el 2026 han mejorado gradualmente. </w:t>
      </w:r>
      <w:r w:rsidR="00811C46">
        <w:rPr>
          <w:rFonts w:ascii="Times New Roman" w:hAnsi="Times New Roman" w:cs="Times New Roman"/>
          <w:lang w:val="es-MX"/>
        </w:rPr>
        <w:t>Por ejemplo</w:t>
      </w:r>
      <w:r w:rsidR="00500179">
        <w:rPr>
          <w:rFonts w:ascii="Times New Roman" w:hAnsi="Times New Roman" w:cs="Times New Roman"/>
          <w:lang w:val="es-MX"/>
        </w:rPr>
        <w:t xml:space="preserve">, la encuesta de expectativas económicas recopilada por el Banco Central de Chile da cuenta de un incremento en las perspectivas de crecimiento del PIB de este año desde mediados del 2025, que se preveía una </w:t>
      </w:r>
      <w:r w:rsidR="00500179">
        <w:rPr>
          <w:rFonts w:ascii="Times New Roman" w:hAnsi="Times New Roman" w:cs="Times New Roman"/>
          <w:lang w:val="es-MX"/>
        </w:rPr>
        <w:lastRenderedPageBreak/>
        <w:t xml:space="preserve">expansión de 2%, hasta una de 2,5% en la encuesta de este mes. Lo anterior también ha venido de la mano de un mayor dinamismo de la inversión y sus expectativas para este año y el próximo. </w:t>
      </w:r>
    </w:p>
    <w:p w14:paraId="4ECE5BF8" w14:textId="77777777" w:rsidR="00DB5B6D" w:rsidRDefault="000E6894" w:rsidP="000E6894">
      <w:pPr>
        <w:jc w:val="both"/>
        <w:rPr>
          <w:rFonts w:ascii="Times New Roman" w:hAnsi="Times New Roman" w:cs="Times New Roman"/>
          <w:lang w:val="es-MX"/>
        </w:rPr>
      </w:pPr>
      <w:r w:rsidRPr="000E6894">
        <w:rPr>
          <w:rFonts w:ascii="Times New Roman" w:hAnsi="Times New Roman" w:cs="Times New Roman"/>
          <w:lang w:val="es-MX"/>
        </w:rPr>
        <w:t>E</w:t>
      </w:r>
      <w:r w:rsidR="00811C46">
        <w:rPr>
          <w:rFonts w:ascii="Times New Roman" w:hAnsi="Times New Roman" w:cs="Times New Roman"/>
          <w:lang w:val="es-MX"/>
        </w:rPr>
        <w:t>n contraposición con las mejoras graduales en el PIB y la inversión, e</w:t>
      </w:r>
      <w:r w:rsidRPr="000E6894">
        <w:rPr>
          <w:rFonts w:ascii="Times New Roman" w:hAnsi="Times New Roman" w:cs="Times New Roman"/>
          <w:lang w:val="es-MX"/>
        </w:rPr>
        <w:t>l mercado laboral continúa evidenciando</w:t>
      </w:r>
      <w:r w:rsidR="00811C46">
        <w:rPr>
          <w:rFonts w:ascii="Times New Roman" w:hAnsi="Times New Roman" w:cs="Times New Roman"/>
          <w:lang w:val="es-MX"/>
        </w:rPr>
        <w:t xml:space="preserve"> holguras</w:t>
      </w:r>
      <w:r w:rsidRPr="000E6894">
        <w:rPr>
          <w:rFonts w:ascii="Times New Roman" w:hAnsi="Times New Roman" w:cs="Times New Roman"/>
          <w:lang w:val="es-MX"/>
        </w:rPr>
        <w:t xml:space="preserve">. </w:t>
      </w:r>
      <w:r w:rsidR="00573840">
        <w:rPr>
          <w:rFonts w:ascii="Times New Roman" w:hAnsi="Times New Roman" w:cs="Times New Roman"/>
          <w:lang w:val="es-MX"/>
        </w:rPr>
        <w:t xml:space="preserve">La tasa de desempleo a nivel nacional en el </w:t>
      </w:r>
      <w:r w:rsidR="00573840" w:rsidRPr="00573840">
        <w:rPr>
          <w:rFonts w:ascii="Times New Roman" w:hAnsi="Times New Roman" w:cs="Times New Roman"/>
          <w:lang w:val="es-MX"/>
        </w:rPr>
        <w:t>trimestre</w:t>
      </w:r>
      <w:r w:rsidR="00573840">
        <w:rPr>
          <w:rFonts w:ascii="Times New Roman" w:hAnsi="Times New Roman" w:cs="Times New Roman"/>
          <w:lang w:val="es-MX"/>
        </w:rPr>
        <w:t xml:space="preserve"> </w:t>
      </w:r>
      <w:r w:rsidR="00573840" w:rsidRPr="00573840">
        <w:rPr>
          <w:rFonts w:ascii="Times New Roman" w:hAnsi="Times New Roman" w:cs="Times New Roman"/>
          <w:lang w:val="es-MX"/>
        </w:rPr>
        <w:t>septiembre-noviembre</w:t>
      </w:r>
      <w:r w:rsidR="00573840">
        <w:rPr>
          <w:rFonts w:ascii="Times New Roman" w:hAnsi="Times New Roman" w:cs="Times New Roman"/>
          <w:lang w:val="es-MX"/>
        </w:rPr>
        <w:t xml:space="preserve"> </w:t>
      </w:r>
      <w:r w:rsidR="00573840" w:rsidRPr="00573840">
        <w:rPr>
          <w:rFonts w:ascii="Times New Roman" w:hAnsi="Times New Roman" w:cs="Times New Roman"/>
          <w:lang w:val="es-MX"/>
        </w:rPr>
        <w:t>2025</w:t>
      </w:r>
      <w:r w:rsidR="00573840">
        <w:rPr>
          <w:rFonts w:ascii="Times New Roman" w:hAnsi="Times New Roman" w:cs="Times New Roman"/>
          <w:lang w:val="es-MX"/>
        </w:rPr>
        <w:t xml:space="preserve"> fue </w:t>
      </w:r>
      <w:r w:rsidR="00573840" w:rsidRPr="00573840">
        <w:rPr>
          <w:rFonts w:ascii="Times New Roman" w:hAnsi="Times New Roman" w:cs="Times New Roman"/>
          <w:lang w:val="es-MX"/>
        </w:rPr>
        <w:t>8,4%, incrementándose</w:t>
      </w:r>
      <w:r w:rsidR="00573840">
        <w:rPr>
          <w:rFonts w:ascii="Times New Roman" w:hAnsi="Times New Roman" w:cs="Times New Roman"/>
          <w:lang w:val="es-MX"/>
        </w:rPr>
        <w:t xml:space="preserve"> </w:t>
      </w:r>
      <w:r w:rsidR="00573840" w:rsidRPr="00573840">
        <w:rPr>
          <w:rFonts w:ascii="Times New Roman" w:hAnsi="Times New Roman" w:cs="Times New Roman"/>
          <w:lang w:val="es-MX"/>
        </w:rPr>
        <w:t>0,2</w:t>
      </w:r>
      <w:r w:rsidR="00573840">
        <w:rPr>
          <w:rFonts w:ascii="Times New Roman" w:hAnsi="Times New Roman" w:cs="Times New Roman"/>
          <w:lang w:val="es-MX"/>
        </w:rPr>
        <w:t xml:space="preserve"> </w:t>
      </w:r>
      <w:r w:rsidR="00573840" w:rsidRPr="00573840">
        <w:rPr>
          <w:rFonts w:ascii="Times New Roman" w:hAnsi="Times New Roman" w:cs="Times New Roman"/>
          <w:lang w:val="es-MX"/>
        </w:rPr>
        <w:t>puntos</w:t>
      </w:r>
      <w:r w:rsidR="00573840">
        <w:rPr>
          <w:rFonts w:ascii="Times New Roman" w:hAnsi="Times New Roman" w:cs="Times New Roman"/>
          <w:lang w:val="es-MX"/>
        </w:rPr>
        <w:t xml:space="preserve"> </w:t>
      </w:r>
      <w:r w:rsidR="00573840" w:rsidRPr="00573840">
        <w:rPr>
          <w:rFonts w:ascii="Times New Roman" w:hAnsi="Times New Roman" w:cs="Times New Roman"/>
          <w:lang w:val="es-MX"/>
        </w:rPr>
        <w:t>porcentuales</w:t>
      </w:r>
      <w:r w:rsidR="00573840">
        <w:rPr>
          <w:rFonts w:ascii="Times New Roman" w:hAnsi="Times New Roman" w:cs="Times New Roman"/>
          <w:lang w:val="es-MX"/>
        </w:rPr>
        <w:t xml:space="preserve"> en </w:t>
      </w:r>
      <w:r w:rsidR="00573840" w:rsidRPr="00573840">
        <w:rPr>
          <w:rFonts w:ascii="Times New Roman" w:hAnsi="Times New Roman" w:cs="Times New Roman"/>
          <w:lang w:val="es-MX"/>
        </w:rPr>
        <w:t>doce</w:t>
      </w:r>
      <w:r w:rsidR="00573840">
        <w:rPr>
          <w:rFonts w:ascii="Times New Roman" w:hAnsi="Times New Roman" w:cs="Times New Roman"/>
          <w:lang w:val="es-MX"/>
        </w:rPr>
        <w:t xml:space="preserve"> </w:t>
      </w:r>
      <w:r w:rsidR="00573840" w:rsidRPr="00573840">
        <w:rPr>
          <w:rFonts w:ascii="Times New Roman" w:hAnsi="Times New Roman" w:cs="Times New Roman"/>
          <w:lang w:val="es-MX"/>
        </w:rPr>
        <w:t>meses</w:t>
      </w:r>
      <w:r w:rsidR="00573840">
        <w:rPr>
          <w:rFonts w:ascii="Times New Roman" w:hAnsi="Times New Roman" w:cs="Times New Roman"/>
          <w:lang w:val="es-MX"/>
        </w:rPr>
        <w:t xml:space="preserve"> </w:t>
      </w:r>
      <w:r w:rsidR="00DC2107">
        <w:rPr>
          <w:rFonts w:ascii="Times New Roman" w:hAnsi="Times New Roman" w:cs="Times New Roman"/>
          <w:lang w:val="es-MX"/>
        </w:rPr>
        <w:t xml:space="preserve">y </w:t>
      </w:r>
      <w:r w:rsidR="00573840">
        <w:rPr>
          <w:rFonts w:ascii="Times New Roman" w:hAnsi="Times New Roman" w:cs="Times New Roman"/>
          <w:lang w:val="es-MX"/>
        </w:rPr>
        <w:t xml:space="preserve">sin poder </w:t>
      </w:r>
      <w:r w:rsidR="00DC2107">
        <w:rPr>
          <w:rFonts w:ascii="Times New Roman" w:hAnsi="Times New Roman" w:cs="Times New Roman"/>
          <w:lang w:val="es-MX"/>
        </w:rPr>
        <w:t>acercarse a valores promedios previos a la pandemia (6,9%)</w:t>
      </w:r>
      <w:r w:rsidR="00573840" w:rsidRPr="00573840">
        <w:rPr>
          <w:rFonts w:ascii="Times New Roman" w:hAnsi="Times New Roman" w:cs="Times New Roman"/>
          <w:lang w:val="es-MX"/>
        </w:rPr>
        <w:t>.</w:t>
      </w:r>
      <w:r w:rsidR="00DC2107">
        <w:rPr>
          <w:rFonts w:ascii="Times New Roman" w:hAnsi="Times New Roman" w:cs="Times New Roman"/>
          <w:lang w:val="es-MX"/>
        </w:rPr>
        <w:t xml:space="preserve"> </w:t>
      </w:r>
      <w:r w:rsidR="00573840">
        <w:rPr>
          <w:rFonts w:ascii="Times New Roman" w:hAnsi="Times New Roman" w:cs="Times New Roman"/>
          <w:lang w:val="es-MX"/>
        </w:rPr>
        <w:t>Así, l</w:t>
      </w:r>
      <w:r w:rsidRPr="000E6894">
        <w:rPr>
          <w:rFonts w:ascii="Times New Roman" w:hAnsi="Times New Roman" w:cs="Times New Roman"/>
          <w:lang w:val="es-MX"/>
        </w:rPr>
        <w:t>a tasa de desempleo se mantiene en niveles</w:t>
      </w:r>
      <w:r w:rsidR="00573840">
        <w:rPr>
          <w:rFonts w:ascii="Times New Roman" w:hAnsi="Times New Roman" w:cs="Times New Roman"/>
          <w:lang w:val="es-MX"/>
        </w:rPr>
        <w:t xml:space="preserve"> moderadamente</w:t>
      </w:r>
      <w:r w:rsidRPr="000E6894">
        <w:rPr>
          <w:rFonts w:ascii="Times New Roman" w:hAnsi="Times New Roman" w:cs="Times New Roman"/>
          <w:lang w:val="es-MX"/>
        </w:rPr>
        <w:t xml:space="preserve"> elevados y la creación de empleo ha sido insuficiente para absorber el crecimiento de la fuerza de trabajo.</w:t>
      </w:r>
      <w:r w:rsidR="00DC2107">
        <w:rPr>
          <w:rFonts w:ascii="Times New Roman" w:hAnsi="Times New Roman" w:cs="Times New Roman"/>
          <w:lang w:val="es-MX"/>
        </w:rPr>
        <w:t xml:space="preserve"> </w:t>
      </w:r>
    </w:p>
    <w:p w14:paraId="70EE0F69" w14:textId="4635FC65" w:rsidR="000E6894" w:rsidRPr="000E6894" w:rsidRDefault="00DC2107" w:rsidP="000E6894">
      <w:pPr>
        <w:jc w:val="both"/>
        <w:rPr>
          <w:rFonts w:ascii="Times New Roman" w:hAnsi="Times New Roman" w:cs="Times New Roman"/>
          <w:lang w:val="es-MX"/>
        </w:rPr>
      </w:pPr>
      <w:r>
        <w:rPr>
          <w:rFonts w:ascii="Times New Roman" w:hAnsi="Times New Roman" w:cs="Times New Roman"/>
          <w:lang w:val="es-MX"/>
        </w:rPr>
        <w:t>Por su parte, e</w:t>
      </w:r>
      <w:r w:rsidR="000E6894" w:rsidRPr="000E6894">
        <w:rPr>
          <w:rFonts w:ascii="Times New Roman" w:hAnsi="Times New Roman" w:cs="Times New Roman"/>
          <w:lang w:val="es-MX"/>
        </w:rPr>
        <w:t xml:space="preserve">n el ámbito financiero, los activos locales han mostrado un </w:t>
      </w:r>
      <w:r w:rsidR="00002EDA">
        <w:rPr>
          <w:rFonts w:ascii="Times New Roman" w:hAnsi="Times New Roman" w:cs="Times New Roman"/>
          <w:lang w:val="es-MX"/>
        </w:rPr>
        <w:t xml:space="preserve">gran </w:t>
      </w:r>
      <w:r w:rsidR="000E6894" w:rsidRPr="000E6894">
        <w:rPr>
          <w:rFonts w:ascii="Times New Roman" w:hAnsi="Times New Roman" w:cs="Times New Roman"/>
          <w:lang w:val="es-MX"/>
        </w:rPr>
        <w:t xml:space="preserve">desempeño. </w:t>
      </w:r>
      <w:r w:rsidR="006E2F65">
        <w:rPr>
          <w:rFonts w:ascii="Times New Roman" w:hAnsi="Times New Roman" w:cs="Times New Roman"/>
          <w:lang w:val="es-MX"/>
        </w:rPr>
        <w:t xml:space="preserve">En efecto, </w:t>
      </w:r>
      <w:r w:rsidR="00D07812">
        <w:rPr>
          <w:rFonts w:ascii="Times New Roman" w:hAnsi="Times New Roman" w:cs="Times New Roman"/>
          <w:lang w:val="es-MX"/>
        </w:rPr>
        <w:t>e</w:t>
      </w:r>
      <w:r w:rsidR="006E2F65" w:rsidRPr="006E2F65">
        <w:rPr>
          <w:rFonts w:ascii="Times New Roman" w:hAnsi="Times New Roman" w:cs="Times New Roman"/>
          <w:lang w:val="es-MX"/>
        </w:rPr>
        <w:t>l IPSA superó el nivel de los 11.500 puntos</w:t>
      </w:r>
      <w:r w:rsidR="00364DE7">
        <w:rPr>
          <w:rFonts w:ascii="Times New Roman" w:hAnsi="Times New Roman" w:cs="Times New Roman"/>
          <w:lang w:val="es-MX"/>
        </w:rPr>
        <w:t xml:space="preserve"> la semana pasada</w:t>
      </w:r>
      <w:r w:rsidR="006E2F65" w:rsidRPr="006E2F65">
        <w:rPr>
          <w:rFonts w:ascii="Times New Roman" w:hAnsi="Times New Roman" w:cs="Times New Roman"/>
          <w:lang w:val="es-MX"/>
        </w:rPr>
        <w:t xml:space="preserve">, acumulando un alza </w:t>
      </w:r>
      <w:r w:rsidR="00002EDA">
        <w:rPr>
          <w:rFonts w:ascii="Times New Roman" w:hAnsi="Times New Roman" w:cs="Times New Roman"/>
          <w:lang w:val="es-MX"/>
        </w:rPr>
        <w:t xml:space="preserve">semanal </w:t>
      </w:r>
      <w:r w:rsidR="006E2F65">
        <w:rPr>
          <w:rFonts w:ascii="Times New Roman" w:hAnsi="Times New Roman" w:cs="Times New Roman"/>
          <w:lang w:val="es-MX"/>
        </w:rPr>
        <w:t>de</w:t>
      </w:r>
      <w:r w:rsidR="006E2F65" w:rsidRPr="006E2F65">
        <w:rPr>
          <w:rFonts w:ascii="Times New Roman" w:hAnsi="Times New Roman" w:cs="Times New Roman"/>
          <w:lang w:val="es-MX"/>
        </w:rPr>
        <w:t xml:space="preserve"> 3%.</w:t>
      </w:r>
      <w:r w:rsidR="006E2F65">
        <w:rPr>
          <w:rFonts w:ascii="Times New Roman" w:hAnsi="Times New Roman" w:cs="Times New Roman"/>
          <w:lang w:val="es-MX"/>
        </w:rPr>
        <w:t xml:space="preserve"> </w:t>
      </w:r>
      <w:r w:rsidR="000E6894" w:rsidRPr="000E6894">
        <w:rPr>
          <w:rFonts w:ascii="Times New Roman" w:hAnsi="Times New Roman" w:cs="Times New Roman"/>
          <w:lang w:val="es-MX"/>
        </w:rPr>
        <w:t>El peso chileno se ha apreciado de manera significativa,</w:t>
      </w:r>
      <w:r w:rsidR="0003747F">
        <w:rPr>
          <w:rFonts w:ascii="Times New Roman" w:hAnsi="Times New Roman" w:cs="Times New Roman"/>
          <w:lang w:val="es-MX"/>
        </w:rPr>
        <w:t xml:space="preserve"> con una cotización cercana a 870 pesos por dólar</w:t>
      </w:r>
      <w:r w:rsidR="00002EDA">
        <w:rPr>
          <w:rFonts w:ascii="Times New Roman" w:hAnsi="Times New Roman" w:cs="Times New Roman"/>
          <w:lang w:val="es-MX"/>
        </w:rPr>
        <w:t xml:space="preserve"> la semana pasada</w:t>
      </w:r>
      <w:r w:rsidR="0003747F">
        <w:rPr>
          <w:rFonts w:ascii="Times New Roman" w:hAnsi="Times New Roman" w:cs="Times New Roman"/>
          <w:lang w:val="es-MX"/>
        </w:rPr>
        <w:t xml:space="preserve"> y no observada en más de dos años. Esta apreciación del peso vendría impulsada</w:t>
      </w:r>
      <w:r w:rsidR="006E2F65" w:rsidRPr="006E2F65">
        <w:rPr>
          <w:rFonts w:ascii="Times New Roman" w:hAnsi="Times New Roman" w:cs="Times New Roman"/>
          <w:lang w:val="es-MX"/>
        </w:rPr>
        <w:t xml:space="preserve"> por el </w:t>
      </w:r>
      <w:r w:rsidR="0003747F">
        <w:rPr>
          <w:rFonts w:ascii="Times New Roman" w:hAnsi="Times New Roman" w:cs="Times New Roman"/>
          <w:lang w:val="es-MX"/>
        </w:rPr>
        <w:t xml:space="preserve">significativo </w:t>
      </w:r>
      <w:r w:rsidR="006E2F65" w:rsidRPr="006E2F65">
        <w:rPr>
          <w:rFonts w:ascii="Times New Roman" w:hAnsi="Times New Roman" w:cs="Times New Roman"/>
          <w:lang w:val="es-MX"/>
        </w:rPr>
        <w:t>aumento en el precio del cobre</w:t>
      </w:r>
      <w:r w:rsidR="0003747F">
        <w:rPr>
          <w:rFonts w:ascii="Times New Roman" w:hAnsi="Times New Roman" w:cs="Times New Roman"/>
          <w:lang w:val="es-MX"/>
        </w:rPr>
        <w:t xml:space="preserve">, </w:t>
      </w:r>
      <w:r w:rsidR="006E2F65" w:rsidRPr="006E2F65">
        <w:rPr>
          <w:rFonts w:ascii="Times New Roman" w:hAnsi="Times New Roman" w:cs="Times New Roman"/>
          <w:lang w:val="es-MX"/>
        </w:rPr>
        <w:t xml:space="preserve">el debilitamiento del dólar </w:t>
      </w:r>
      <w:r w:rsidR="006E2F65">
        <w:rPr>
          <w:rFonts w:ascii="Times New Roman" w:hAnsi="Times New Roman" w:cs="Times New Roman"/>
          <w:lang w:val="es-MX"/>
        </w:rPr>
        <w:t xml:space="preserve">a nivel </w:t>
      </w:r>
      <w:r w:rsidR="006E2F65" w:rsidRPr="006E2F65">
        <w:rPr>
          <w:rFonts w:ascii="Times New Roman" w:hAnsi="Times New Roman" w:cs="Times New Roman"/>
          <w:lang w:val="es-MX"/>
        </w:rPr>
        <w:t>multilateral</w:t>
      </w:r>
      <w:r w:rsidR="0003747F">
        <w:rPr>
          <w:rFonts w:ascii="Times New Roman" w:hAnsi="Times New Roman" w:cs="Times New Roman"/>
          <w:lang w:val="es-MX"/>
        </w:rPr>
        <w:t xml:space="preserve"> y el mayor apetito por riesgo que muestran los inversionistas internacionales</w:t>
      </w:r>
      <w:r w:rsidR="006E2F65" w:rsidRPr="006E2F65">
        <w:rPr>
          <w:rFonts w:ascii="Times New Roman" w:hAnsi="Times New Roman" w:cs="Times New Roman"/>
          <w:lang w:val="es-MX"/>
        </w:rPr>
        <w:t>.</w:t>
      </w:r>
      <w:r w:rsidR="006E2F65">
        <w:rPr>
          <w:rFonts w:ascii="Times New Roman" w:hAnsi="Times New Roman" w:cs="Times New Roman"/>
          <w:lang w:val="es-MX"/>
        </w:rPr>
        <w:t xml:space="preserve"> </w:t>
      </w:r>
      <w:r w:rsidR="00542F21">
        <w:rPr>
          <w:rFonts w:ascii="Times New Roman" w:hAnsi="Times New Roman" w:cs="Times New Roman"/>
          <w:lang w:val="es-MX"/>
        </w:rPr>
        <w:t>Como se mencionó, e</w:t>
      </w:r>
      <w:r w:rsidR="006E2F65">
        <w:rPr>
          <w:rFonts w:ascii="Times New Roman" w:hAnsi="Times New Roman" w:cs="Times New Roman"/>
          <w:lang w:val="es-MX"/>
        </w:rPr>
        <w:t xml:space="preserve">sta dinámica del peso relativo al dólar </w:t>
      </w:r>
      <w:r w:rsidR="000E6894" w:rsidRPr="000E6894">
        <w:rPr>
          <w:rFonts w:ascii="Times New Roman" w:hAnsi="Times New Roman" w:cs="Times New Roman"/>
          <w:lang w:val="es-MX"/>
        </w:rPr>
        <w:t>contribuye</w:t>
      </w:r>
      <w:r w:rsidR="006E2F65">
        <w:rPr>
          <w:rFonts w:ascii="Times New Roman" w:hAnsi="Times New Roman" w:cs="Times New Roman"/>
          <w:lang w:val="es-MX"/>
        </w:rPr>
        <w:t xml:space="preserve"> adicionalmente</w:t>
      </w:r>
      <w:r w:rsidR="000E6894" w:rsidRPr="000E6894">
        <w:rPr>
          <w:rFonts w:ascii="Times New Roman" w:hAnsi="Times New Roman" w:cs="Times New Roman"/>
          <w:lang w:val="es-MX"/>
        </w:rPr>
        <w:t xml:space="preserve"> a aliviar las presiones inflacionarias de corto plazo</w:t>
      </w:r>
      <w:r w:rsidR="006E2F65">
        <w:rPr>
          <w:rFonts w:ascii="Times New Roman" w:hAnsi="Times New Roman" w:cs="Times New Roman"/>
          <w:lang w:val="es-MX"/>
        </w:rPr>
        <w:t xml:space="preserve"> para los productos importados.</w:t>
      </w:r>
    </w:p>
    <w:p w14:paraId="2FB823EB" w14:textId="62F36A2E" w:rsidR="000E3A2D" w:rsidRPr="00F8298D" w:rsidRDefault="000E6894" w:rsidP="000E6894">
      <w:pPr>
        <w:jc w:val="both"/>
        <w:rPr>
          <w:rFonts w:ascii="Times New Roman" w:hAnsi="Times New Roman" w:cs="Times New Roman"/>
          <w:lang w:val="es-MX"/>
        </w:rPr>
      </w:pPr>
      <w:r w:rsidRPr="000E6894">
        <w:rPr>
          <w:rFonts w:ascii="Times New Roman" w:hAnsi="Times New Roman" w:cs="Times New Roman"/>
          <w:lang w:val="es-MX"/>
        </w:rPr>
        <w:t>La inflación ha continuado avanzando su proceso de convergencia hacia la meta</w:t>
      </w:r>
      <w:r w:rsidR="00632236">
        <w:rPr>
          <w:rFonts w:ascii="Times New Roman" w:hAnsi="Times New Roman" w:cs="Times New Roman"/>
          <w:lang w:val="es-MX"/>
        </w:rPr>
        <w:t xml:space="preserve"> y de forma más acelerada a</w:t>
      </w:r>
      <w:r w:rsidR="006606AA">
        <w:rPr>
          <w:rFonts w:ascii="Times New Roman" w:hAnsi="Times New Roman" w:cs="Times New Roman"/>
          <w:lang w:val="es-MX"/>
        </w:rPr>
        <w:t xml:space="preserve"> la</w:t>
      </w:r>
      <w:r w:rsidR="00632236">
        <w:rPr>
          <w:rFonts w:ascii="Times New Roman" w:hAnsi="Times New Roman" w:cs="Times New Roman"/>
          <w:lang w:val="es-MX"/>
        </w:rPr>
        <w:t xml:space="preserve"> que se anticipada</w:t>
      </w:r>
      <w:r w:rsidR="006606AA">
        <w:rPr>
          <w:rFonts w:ascii="Times New Roman" w:hAnsi="Times New Roman" w:cs="Times New Roman"/>
          <w:lang w:val="es-MX"/>
        </w:rPr>
        <w:t xml:space="preserve"> unos meses atrás</w:t>
      </w:r>
      <w:r w:rsidRPr="000E6894">
        <w:rPr>
          <w:rFonts w:ascii="Times New Roman" w:hAnsi="Times New Roman" w:cs="Times New Roman"/>
          <w:lang w:val="es-MX"/>
        </w:rPr>
        <w:t>. El IPC de diciembre registró una variación negativa</w:t>
      </w:r>
      <w:r w:rsidR="00B32D3F">
        <w:rPr>
          <w:rFonts w:ascii="Times New Roman" w:hAnsi="Times New Roman" w:cs="Times New Roman"/>
          <w:lang w:val="es-MX"/>
        </w:rPr>
        <w:t xml:space="preserve"> de 0,2%, la cual fue menor a la esperada</w:t>
      </w:r>
      <w:r w:rsidR="006606AA">
        <w:rPr>
          <w:rFonts w:ascii="Times New Roman" w:hAnsi="Times New Roman" w:cs="Times New Roman"/>
          <w:lang w:val="es-MX"/>
        </w:rPr>
        <w:t xml:space="preserve"> y permitió cerrar el 2025 con una inflación interanual de 3,5%. Del mismo modo, el IPC sin volátiles mostró un</w:t>
      </w:r>
      <w:r w:rsidR="005E44C0">
        <w:rPr>
          <w:rFonts w:ascii="Times New Roman" w:hAnsi="Times New Roman" w:cs="Times New Roman"/>
          <w:lang w:val="es-MX"/>
        </w:rPr>
        <w:t>a variación</w:t>
      </w:r>
      <w:r w:rsidR="006606AA">
        <w:rPr>
          <w:rFonts w:ascii="Times New Roman" w:hAnsi="Times New Roman" w:cs="Times New Roman"/>
          <w:lang w:val="es-MX"/>
        </w:rPr>
        <w:t xml:space="preserve"> interanual de 3,3% en diciembre</w:t>
      </w:r>
      <w:r w:rsidR="005E44C0">
        <w:rPr>
          <w:rFonts w:ascii="Times New Roman" w:hAnsi="Times New Roman" w:cs="Times New Roman"/>
          <w:lang w:val="es-MX"/>
        </w:rPr>
        <w:t xml:space="preserve">, aunque con una </w:t>
      </w:r>
      <w:r w:rsidR="006606AA">
        <w:rPr>
          <w:rFonts w:ascii="Times New Roman" w:hAnsi="Times New Roman" w:cs="Times New Roman"/>
          <w:lang w:val="es-MX"/>
        </w:rPr>
        <w:t>divergencia entre la</w:t>
      </w:r>
      <w:r w:rsidR="005E44C0">
        <w:rPr>
          <w:rFonts w:ascii="Times New Roman" w:hAnsi="Times New Roman" w:cs="Times New Roman"/>
          <w:lang w:val="es-MX"/>
        </w:rPr>
        <w:t xml:space="preserve"> inflación </w:t>
      </w:r>
      <w:r w:rsidR="006606AA">
        <w:rPr>
          <w:rFonts w:ascii="Times New Roman" w:hAnsi="Times New Roman" w:cs="Times New Roman"/>
          <w:lang w:val="es-MX"/>
        </w:rPr>
        <w:t xml:space="preserve">de los bienes sin volátiles </w:t>
      </w:r>
      <w:r w:rsidR="00DB5B6D">
        <w:rPr>
          <w:rFonts w:ascii="Times New Roman" w:hAnsi="Times New Roman" w:cs="Times New Roman"/>
          <w:lang w:val="es-MX"/>
        </w:rPr>
        <w:t xml:space="preserve">en </w:t>
      </w:r>
      <w:r w:rsidR="006606AA">
        <w:rPr>
          <w:rFonts w:ascii="Times New Roman" w:hAnsi="Times New Roman" w:cs="Times New Roman"/>
          <w:lang w:val="es-MX"/>
        </w:rPr>
        <w:t>1,9%</w:t>
      </w:r>
      <w:r w:rsidR="00DB5B6D">
        <w:rPr>
          <w:rFonts w:ascii="Times New Roman" w:hAnsi="Times New Roman" w:cs="Times New Roman"/>
          <w:lang w:val="es-MX"/>
        </w:rPr>
        <w:t xml:space="preserve"> </w:t>
      </w:r>
      <w:r w:rsidR="006606AA">
        <w:rPr>
          <w:rFonts w:ascii="Times New Roman" w:hAnsi="Times New Roman" w:cs="Times New Roman"/>
          <w:lang w:val="es-MX"/>
        </w:rPr>
        <w:t xml:space="preserve">y </w:t>
      </w:r>
      <w:r w:rsidR="005E44C0">
        <w:rPr>
          <w:rFonts w:ascii="Times New Roman" w:hAnsi="Times New Roman" w:cs="Times New Roman"/>
          <w:lang w:val="es-MX"/>
        </w:rPr>
        <w:t xml:space="preserve">la de </w:t>
      </w:r>
      <w:r w:rsidR="006606AA">
        <w:rPr>
          <w:rFonts w:ascii="Times New Roman" w:hAnsi="Times New Roman" w:cs="Times New Roman"/>
          <w:lang w:val="es-MX"/>
        </w:rPr>
        <w:t>los servicios sin volátiles</w:t>
      </w:r>
      <w:r w:rsidR="00DB5B6D">
        <w:rPr>
          <w:rFonts w:ascii="Times New Roman" w:hAnsi="Times New Roman" w:cs="Times New Roman"/>
          <w:lang w:val="es-MX"/>
        </w:rPr>
        <w:t xml:space="preserve"> en </w:t>
      </w:r>
      <w:r w:rsidR="006606AA">
        <w:rPr>
          <w:rFonts w:ascii="Times New Roman" w:hAnsi="Times New Roman" w:cs="Times New Roman"/>
          <w:lang w:val="es-MX"/>
        </w:rPr>
        <w:t>4,4%</w:t>
      </w:r>
      <w:r w:rsidRPr="000E6894">
        <w:rPr>
          <w:rFonts w:ascii="Times New Roman" w:hAnsi="Times New Roman" w:cs="Times New Roman"/>
          <w:lang w:val="es-MX"/>
        </w:rPr>
        <w:t>.</w:t>
      </w:r>
      <w:r w:rsidR="005E44C0">
        <w:rPr>
          <w:rFonts w:ascii="Times New Roman" w:hAnsi="Times New Roman" w:cs="Times New Roman"/>
          <w:lang w:val="es-MX"/>
        </w:rPr>
        <w:t xml:space="preserve"> </w:t>
      </w:r>
      <w:r w:rsidR="00490697">
        <w:rPr>
          <w:rFonts w:ascii="Times New Roman" w:hAnsi="Times New Roman" w:cs="Times New Roman"/>
          <w:lang w:val="es-MX"/>
        </w:rPr>
        <w:t xml:space="preserve">Los registros de la inflación de servicios sin volátiles ponen una nota de cautela sobre el proceso de convergencia inflacionaria, toda vez que éstos están más estrechamente vinculados a costos laborales que tienen alzas </w:t>
      </w:r>
      <w:r w:rsidR="00DB5B6D">
        <w:rPr>
          <w:rFonts w:ascii="Times New Roman" w:hAnsi="Times New Roman" w:cs="Times New Roman"/>
          <w:lang w:val="es-MX"/>
        </w:rPr>
        <w:t xml:space="preserve">previstas </w:t>
      </w:r>
      <w:r w:rsidR="00490697">
        <w:rPr>
          <w:rFonts w:ascii="Times New Roman" w:hAnsi="Times New Roman" w:cs="Times New Roman"/>
          <w:lang w:val="es-MX"/>
        </w:rPr>
        <w:t>este año producto del reajuste del salario mínimo y la reforma de pensiones. Con todo</w:t>
      </w:r>
      <w:r w:rsidR="005E44C0">
        <w:rPr>
          <w:rFonts w:ascii="Times New Roman" w:hAnsi="Times New Roman" w:cs="Times New Roman"/>
          <w:lang w:val="es-MX"/>
        </w:rPr>
        <w:t>, las perspectivas de corto plazo apuntan a que es posible que la inflación interanual en los próximos meses tenga cifras por debajo de 3%, mientras que las expectativas de la inflación a un</w:t>
      </w:r>
      <w:r w:rsidR="00002EDA">
        <w:rPr>
          <w:rFonts w:ascii="Times New Roman" w:hAnsi="Times New Roman" w:cs="Times New Roman"/>
          <w:lang w:val="es-MX"/>
        </w:rPr>
        <w:t>o</w:t>
      </w:r>
      <w:r w:rsidR="005E44C0">
        <w:rPr>
          <w:rFonts w:ascii="Times New Roman" w:hAnsi="Times New Roman" w:cs="Times New Roman"/>
          <w:lang w:val="es-MX"/>
        </w:rPr>
        <w:t xml:space="preserve"> y dos años se mantiene</w:t>
      </w:r>
      <w:r w:rsidR="00002EDA">
        <w:rPr>
          <w:rFonts w:ascii="Times New Roman" w:hAnsi="Times New Roman" w:cs="Times New Roman"/>
          <w:lang w:val="es-MX"/>
        </w:rPr>
        <w:t>n ancladas</w:t>
      </w:r>
      <w:r w:rsidR="005E44C0">
        <w:rPr>
          <w:rFonts w:ascii="Times New Roman" w:hAnsi="Times New Roman" w:cs="Times New Roman"/>
          <w:lang w:val="es-MX"/>
        </w:rPr>
        <w:t xml:space="preserve"> en 3%.</w:t>
      </w:r>
    </w:p>
    <w:p w14:paraId="22FA629F" w14:textId="20207EF1" w:rsidR="005064FE" w:rsidRPr="005064FE" w:rsidRDefault="000E6894" w:rsidP="00640CDF">
      <w:pPr>
        <w:jc w:val="both"/>
        <w:rPr>
          <w:lang w:val="es-MX"/>
        </w:rPr>
      </w:pPr>
      <w:r w:rsidRPr="00F8298D">
        <w:rPr>
          <w:rFonts w:ascii="Times New Roman" w:hAnsi="Times New Roman" w:cs="Times New Roman"/>
          <w:b/>
          <w:lang w:val="es-MX"/>
        </w:rPr>
        <w:t>En concordancia con el escenario macroeconómico delineado</w:t>
      </w:r>
      <w:r w:rsidR="003C7AD3" w:rsidRPr="00F8298D">
        <w:rPr>
          <w:rFonts w:ascii="Times New Roman" w:hAnsi="Times New Roman" w:cs="Times New Roman"/>
          <w:b/>
          <w:lang w:val="es-MX"/>
        </w:rPr>
        <w:t>, el G</w:t>
      </w:r>
      <w:r w:rsidR="00665566" w:rsidRPr="00F8298D">
        <w:rPr>
          <w:rFonts w:ascii="Times New Roman" w:hAnsi="Times New Roman" w:cs="Times New Roman"/>
          <w:b/>
          <w:lang w:val="es-MX"/>
        </w:rPr>
        <w:t xml:space="preserve">rupo de </w:t>
      </w:r>
      <w:r w:rsidR="003C7AD3" w:rsidRPr="00F8298D">
        <w:rPr>
          <w:rFonts w:ascii="Times New Roman" w:hAnsi="Times New Roman" w:cs="Times New Roman"/>
          <w:b/>
          <w:lang w:val="es-MX"/>
        </w:rPr>
        <w:t>P</w:t>
      </w:r>
      <w:r w:rsidR="00665566" w:rsidRPr="00F8298D">
        <w:rPr>
          <w:rFonts w:ascii="Times New Roman" w:hAnsi="Times New Roman" w:cs="Times New Roman"/>
          <w:b/>
          <w:lang w:val="es-MX"/>
        </w:rPr>
        <w:t xml:space="preserve">olítica </w:t>
      </w:r>
      <w:r w:rsidR="003C7AD3" w:rsidRPr="00F8298D">
        <w:rPr>
          <w:rFonts w:ascii="Times New Roman" w:hAnsi="Times New Roman" w:cs="Times New Roman"/>
          <w:b/>
          <w:lang w:val="es-MX"/>
        </w:rPr>
        <w:t>M</w:t>
      </w:r>
      <w:r w:rsidR="00665566" w:rsidRPr="00F8298D">
        <w:rPr>
          <w:rFonts w:ascii="Times New Roman" w:hAnsi="Times New Roman" w:cs="Times New Roman"/>
          <w:b/>
          <w:lang w:val="es-MX"/>
        </w:rPr>
        <w:t>onetaria</w:t>
      </w:r>
      <w:r w:rsidR="003C7AD3" w:rsidRPr="00F8298D">
        <w:rPr>
          <w:rFonts w:ascii="Times New Roman" w:hAnsi="Times New Roman" w:cs="Times New Roman"/>
          <w:b/>
          <w:lang w:val="es-MX"/>
        </w:rPr>
        <w:t xml:space="preserve"> </w:t>
      </w:r>
      <w:r w:rsidR="00665566" w:rsidRPr="00F8298D">
        <w:rPr>
          <w:rFonts w:ascii="Times New Roman" w:hAnsi="Times New Roman" w:cs="Times New Roman"/>
          <w:b/>
          <w:lang w:val="es-MX"/>
        </w:rPr>
        <w:t xml:space="preserve">recomienda </w:t>
      </w:r>
      <w:r w:rsidRPr="00F8298D">
        <w:rPr>
          <w:rFonts w:ascii="Times New Roman" w:hAnsi="Times New Roman" w:cs="Times New Roman"/>
          <w:b/>
          <w:lang w:val="es-MX"/>
        </w:rPr>
        <w:t xml:space="preserve">mantener </w:t>
      </w:r>
      <w:r w:rsidR="003C7AD3" w:rsidRPr="00F8298D">
        <w:rPr>
          <w:rFonts w:ascii="Times New Roman" w:hAnsi="Times New Roman" w:cs="Times New Roman"/>
          <w:b/>
          <w:bCs/>
          <w:lang w:val="es-MX"/>
        </w:rPr>
        <w:t xml:space="preserve">la Tasa de Política Monetaria </w:t>
      </w:r>
      <w:r w:rsidR="00297748">
        <w:rPr>
          <w:rFonts w:ascii="Times New Roman" w:hAnsi="Times New Roman" w:cs="Times New Roman"/>
          <w:b/>
          <w:bCs/>
          <w:lang w:val="es-MX"/>
        </w:rPr>
        <w:t xml:space="preserve">(TPM) </w:t>
      </w:r>
      <w:r w:rsidR="003C7AD3" w:rsidRPr="00F8298D">
        <w:rPr>
          <w:rFonts w:ascii="Times New Roman" w:hAnsi="Times New Roman" w:cs="Times New Roman"/>
          <w:b/>
          <w:bCs/>
          <w:lang w:val="es-MX"/>
        </w:rPr>
        <w:t>en 4,5%</w:t>
      </w:r>
      <w:r w:rsidR="003C7AD3" w:rsidRPr="00F8298D">
        <w:rPr>
          <w:rFonts w:ascii="Times New Roman" w:hAnsi="Times New Roman" w:cs="Times New Roman"/>
          <w:b/>
          <w:lang w:val="es-MX"/>
        </w:rPr>
        <w:t>,</w:t>
      </w:r>
      <w:r w:rsidR="00A04120" w:rsidRPr="00F8298D">
        <w:rPr>
          <w:rFonts w:ascii="Times New Roman" w:hAnsi="Times New Roman" w:cs="Times New Roman"/>
          <w:b/>
          <w:lang w:val="es-MX"/>
        </w:rPr>
        <w:t xml:space="preserve"> y</w:t>
      </w:r>
      <w:r w:rsidR="00665566" w:rsidRPr="00F8298D">
        <w:rPr>
          <w:rFonts w:ascii="Times New Roman" w:hAnsi="Times New Roman" w:cs="Times New Roman"/>
          <w:b/>
          <w:lang w:val="es-MX"/>
        </w:rPr>
        <w:t xml:space="preserve"> a la vez mantenerse at</w:t>
      </w:r>
      <w:r w:rsidR="00A04120" w:rsidRPr="00F8298D">
        <w:rPr>
          <w:rFonts w:ascii="Times New Roman" w:hAnsi="Times New Roman" w:cs="Times New Roman"/>
          <w:b/>
          <w:lang w:val="es-MX"/>
        </w:rPr>
        <w:t>ento a</w:t>
      </w:r>
      <w:r w:rsidR="00665566" w:rsidRPr="00F8298D">
        <w:rPr>
          <w:rFonts w:ascii="Times New Roman" w:hAnsi="Times New Roman" w:cs="Times New Roman"/>
          <w:b/>
          <w:lang w:val="es-MX"/>
        </w:rPr>
        <w:t>l comportamiento</w:t>
      </w:r>
      <w:r w:rsidR="00002EDA">
        <w:rPr>
          <w:rFonts w:ascii="Times New Roman" w:hAnsi="Times New Roman" w:cs="Times New Roman"/>
          <w:b/>
          <w:lang w:val="es-MX"/>
        </w:rPr>
        <w:t xml:space="preserve"> </w:t>
      </w:r>
      <w:r w:rsidR="00665566" w:rsidRPr="00F8298D">
        <w:rPr>
          <w:rFonts w:ascii="Times New Roman" w:hAnsi="Times New Roman" w:cs="Times New Roman"/>
          <w:b/>
          <w:lang w:val="es-MX"/>
        </w:rPr>
        <w:t>de la inflación</w:t>
      </w:r>
      <w:r w:rsidR="00002EDA">
        <w:rPr>
          <w:rFonts w:ascii="Times New Roman" w:hAnsi="Times New Roman" w:cs="Times New Roman"/>
          <w:b/>
          <w:lang w:val="es-MX"/>
        </w:rPr>
        <w:t xml:space="preserve"> y sus perspectivas</w:t>
      </w:r>
      <w:r w:rsidR="00665566" w:rsidRPr="00F8298D">
        <w:rPr>
          <w:rFonts w:ascii="Times New Roman" w:hAnsi="Times New Roman" w:cs="Times New Roman"/>
          <w:b/>
          <w:lang w:val="es-MX"/>
        </w:rPr>
        <w:t xml:space="preserve"> </w:t>
      </w:r>
      <w:r w:rsidRPr="00F8298D">
        <w:rPr>
          <w:rFonts w:ascii="Times New Roman" w:hAnsi="Times New Roman" w:cs="Times New Roman"/>
          <w:b/>
          <w:lang w:val="es-MX"/>
        </w:rPr>
        <w:t xml:space="preserve">para evaluar </w:t>
      </w:r>
      <w:r w:rsidR="00DB5B6D">
        <w:rPr>
          <w:rFonts w:ascii="Times New Roman" w:hAnsi="Times New Roman" w:cs="Times New Roman"/>
          <w:b/>
          <w:lang w:val="es-MX"/>
        </w:rPr>
        <w:t xml:space="preserve">con cautela </w:t>
      </w:r>
      <w:r w:rsidRPr="00F8298D">
        <w:rPr>
          <w:rFonts w:ascii="Times New Roman" w:hAnsi="Times New Roman" w:cs="Times New Roman"/>
          <w:b/>
          <w:lang w:val="es-MX"/>
        </w:rPr>
        <w:t xml:space="preserve">la necesidad de </w:t>
      </w:r>
      <w:r w:rsidR="00DB5B6D">
        <w:rPr>
          <w:rFonts w:ascii="Times New Roman" w:hAnsi="Times New Roman" w:cs="Times New Roman"/>
          <w:b/>
          <w:lang w:val="es-MX"/>
        </w:rPr>
        <w:t>un</w:t>
      </w:r>
      <w:r>
        <w:rPr>
          <w:rFonts w:ascii="Times New Roman" w:hAnsi="Times New Roman" w:cs="Times New Roman"/>
          <w:b/>
          <w:lang w:val="es-MX"/>
        </w:rPr>
        <w:t xml:space="preserve"> </w:t>
      </w:r>
      <w:r w:rsidRPr="00F8298D">
        <w:rPr>
          <w:rFonts w:ascii="Times New Roman" w:hAnsi="Times New Roman" w:cs="Times New Roman"/>
          <w:b/>
          <w:lang w:val="es-MX"/>
        </w:rPr>
        <w:t>re</w:t>
      </w:r>
      <w:r w:rsidR="00632236">
        <w:rPr>
          <w:rFonts w:ascii="Times New Roman" w:hAnsi="Times New Roman" w:cs="Times New Roman"/>
          <w:b/>
          <w:lang w:val="es-MX"/>
        </w:rPr>
        <w:t>lajamiento monetario</w:t>
      </w:r>
      <w:r w:rsidR="00DB5B6D">
        <w:rPr>
          <w:rFonts w:ascii="Times New Roman" w:hAnsi="Times New Roman" w:cs="Times New Roman"/>
          <w:b/>
          <w:lang w:val="es-MX"/>
        </w:rPr>
        <w:t xml:space="preserve"> </w:t>
      </w:r>
      <w:r w:rsidRPr="00F8298D">
        <w:rPr>
          <w:rFonts w:ascii="Times New Roman" w:hAnsi="Times New Roman" w:cs="Times New Roman"/>
          <w:b/>
          <w:lang w:val="es-MX"/>
        </w:rPr>
        <w:t>en los próximos meses</w:t>
      </w:r>
      <w:r w:rsidR="00DB5B6D">
        <w:rPr>
          <w:rFonts w:ascii="Times New Roman" w:hAnsi="Times New Roman" w:cs="Times New Roman"/>
          <w:b/>
          <w:lang w:val="es-MX"/>
        </w:rPr>
        <w:t xml:space="preserve"> dado los riesgos internacionales y la cercanía </w:t>
      </w:r>
      <w:r w:rsidR="00297748">
        <w:rPr>
          <w:rFonts w:ascii="Times New Roman" w:hAnsi="Times New Roman" w:cs="Times New Roman"/>
          <w:b/>
          <w:lang w:val="es-MX"/>
        </w:rPr>
        <w:t>de</w:t>
      </w:r>
      <w:r w:rsidR="00DB5B6D">
        <w:rPr>
          <w:rFonts w:ascii="Times New Roman" w:hAnsi="Times New Roman" w:cs="Times New Roman"/>
          <w:b/>
          <w:lang w:val="es-MX"/>
        </w:rPr>
        <w:t xml:space="preserve"> la TPM</w:t>
      </w:r>
      <w:r w:rsidR="00297748">
        <w:rPr>
          <w:rFonts w:ascii="Times New Roman" w:hAnsi="Times New Roman" w:cs="Times New Roman"/>
          <w:b/>
          <w:lang w:val="es-MX"/>
        </w:rPr>
        <w:t xml:space="preserve"> con su nivel</w:t>
      </w:r>
      <w:r w:rsidR="00DB5B6D">
        <w:rPr>
          <w:rFonts w:ascii="Times New Roman" w:hAnsi="Times New Roman" w:cs="Times New Roman"/>
          <w:b/>
          <w:lang w:val="es-MX"/>
        </w:rPr>
        <w:t xml:space="preserve"> neutral</w:t>
      </w:r>
      <w:r w:rsidRPr="00F8298D">
        <w:rPr>
          <w:rFonts w:ascii="Times New Roman" w:hAnsi="Times New Roman" w:cs="Times New Roman"/>
          <w:b/>
          <w:lang w:val="es-MX"/>
        </w:rPr>
        <w:t>.</w:t>
      </w:r>
    </w:p>
    <w:p w14:paraId="7AA62FEC" w14:textId="77777777" w:rsidR="005638E2" w:rsidRDefault="005638E2">
      <w:pPr>
        <w:jc w:val="both"/>
        <w:rPr>
          <w:lang w:val="es-MX"/>
        </w:rPr>
      </w:pPr>
    </w:p>
    <w:sectPr w:rsidR="005638E2" w:rsidSect="00475B6B">
      <w:footerReference w:type="default" r:id="rId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071E" w14:textId="77777777" w:rsidR="00D66732" w:rsidRDefault="00D66732" w:rsidP="00F57ABC">
      <w:pPr>
        <w:spacing w:after="0" w:line="240" w:lineRule="auto"/>
      </w:pPr>
      <w:r>
        <w:separator/>
      </w:r>
    </w:p>
  </w:endnote>
  <w:endnote w:type="continuationSeparator" w:id="0">
    <w:p w14:paraId="040DFCD1" w14:textId="77777777" w:rsidR="00D66732" w:rsidRDefault="00D66732" w:rsidP="00F5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00969"/>
      <w:docPartObj>
        <w:docPartGallery w:val="Page Numbers (Bottom of Page)"/>
        <w:docPartUnique/>
      </w:docPartObj>
    </w:sdtPr>
    <w:sdtContent>
      <w:p w14:paraId="4180421B" w14:textId="77777777" w:rsidR="005638E2" w:rsidRDefault="0047406C">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7074EC28" w14:textId="77777777" w:rsidR="005638E2" w:rsidRDefault="005638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D0F6" w14:textId="77777777" w:rsidR="00D66732" w:rsidRDefault="00D66732" w:rsidP="00F57ABC">
      <w:pPr>
        <w:spacing w:after="0" w:line="240" w:lineRule="auto"/>
      </w:pPr>
      <w:r>
        <w:separator/>
      </w:r>
    </w:p>
  </w:footnote>
  <w:footnote w:type="continuationSeparator" w:id="0">
    <w:p w14:paraId="60B0E3F7" w14:textId="77777777" w:rsidR="00D66732" w:rsidRDefault="00D66732" w:rsidP="00F57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E3"/>
    <w:rsid w:val="00002EDA"/>
    <w:rsid w:val="00023500"/>
    <w:rsid w:val="0003747F"/>
    <w:rsid w:val="0004658E"/>
    <w:rsid w:val="00054AF3"/>
    <w:rsid w:val="00056740"/>
    <w:rsid w:val="00071CBB"/>
    <w:rsid w:val="00082F43"/>
    <w:rsid w:val="000E3A2D"/>
    <w:rsid w:val="000E6894"/>
    <w:rsid w:val="000F0C03"/>
    <w:rsid w:val="00104F46"/>
    <w:rsid w:val="00105B56"/>
    <w:rsid w:val="00111C4D"/>
    <w:rsid w:val="001240EC"/>
    <w:rsid w:val="00144C17"/>
    <w:rsid w:val="00157837"/>
    <w:rsid w:val="00163875"/>
    <w:rsid w:val="00195B16"/>
    <w:rsid w:val="001B6A77"/>
    <w:rsid w:val="001C2C73"/>
    <w:rsid w:val="001D606C"/>
    <w:rsid w:val="00206AF1"/>
    <w:rsid w:val="002114D2"/>
    <w:rsid w:val="00214B76"/>
    <w:rsid w:val="00243C0E"/>
    <w:rsid w:val="00272E33"/>
    <w:rsid w:val="00277C72"/>
    <w:rsid w:val="00286D0D"/>
    <w:rsid w:val="00297748"/>
    <w:rsid w:val="002B59E1"/>
    <w:rsid w:val="002C4778"/>
    <w:rsid w:val="002E67E5"/>
    <w:rsid w:val="002E74C9"/>
    <w:rsid w:val="00310FD4"/>
    <w:rsid w:val="003449A2"/>
    <w:rsid w:val="00354C1B"/>
    <w:rsid w:val="00361DE5"/>
    <w:rsid w:val="003645EB"/>
    <w:rsid w:val="00364DE7"/>
    <w:rsid w:val="00367C82"/>
    <w:rsid w:val="003A2DD6"/>
    <w:rsid w:val="003A532F"/>
    <w:rsid w:val="003A6674"/>
    <w:rsid w:val="003C42C5"/>
    <w:rsid w:val="003C7AD3"/>
    <w:rsid w:val="003E600D"/>
    <w:rsid w:val="004010B3"/>
    <w:rsid w:val="00405799"/>
    <w:rsid w:val="004413B7"/>
    <w:rsid w:val="00453CF8"/>
    <w:rsid w:val="00470730"/>
    <w:rsid w:val="0047406C"/>
    <w:rsid w:val="00475B6B"/>
    <w:rsid w:val="00490697"/>
    <w:rsid w:val="00495435"/>
    <w:rsid w:val="004A365C"/>
    <w:rsid w:val="004A65C7"/>
    <w:rsid w:val="004A7E37"/>
    <w:rsid w:val="004B0678"/>
    <w:rsid w:val="004B14B4"/>
    <w:rsid w:val="004C4CD8"/>
    <w:rsid w:val="004E2EE3"/>
    <w:rsid w:val="00500179"/>
    <w:rsid w:val="005064FE"/>
    <w:rsid w:val="00542F21"/>
    <w:rsid w:val="00560779"/>
    <w:rsid w:val="005638E2"/>
    <w:rsid w:val="00573840"/>
    <w:rsid w:val="00574C7C"/>
    <w:rsid w:val="0058689E"/>
    <w:rsid w:val="00596DD8"/>
    <w:rsid w:val="005A1DF3"/>
    <w:rsid w:val="005B3CF4"/>
    <w:rsid w:val="005C5715"/>
    <w:rsid w:val="005E44C0"/>
    <w:rsid w:val="005F6B1F"/>
    <w:rsid w:val="00615D26"/>
    <w:rsid w:val="00620D39"/>
    <w:rsid w:val="00632236"/>
    <w:rsid w:val="00640CDF"/>
    <w:rsid w:val="006606AA"/>
    <w:rsid w:val="00661022"/>
    <w:rsid w:val="00661DBF"/>
    <w:rsid w:val="00665566"/>
    <w:rsid w:val="00694332"/>
    <w:rsid w:val="006D19EA"/>
    <w:rsid w:val="006E2F65"/>
    <w:rsid w:val="006F5DB5"/>
    <w:rsid w:val="00721078"/>
    <w:rsid w:val="007229B0"/>
    <w:rsid w:val="00726284"/>
    <w:rsid w:val="00753A27"/>
    <w:rsid w:val="007738AB"/>
    <w:rsid w:val="007926DB"/>
    <w:rsid w:val="00803F26"/>
    <w:rsid w:val="00811C46"/>
    <w:rsid w:val="0082589E"/>
    <w:rsid w:val="00837733"/>
    <w:rsid w:val="008445C6"/>
    <w:rsid w:val="008B77EB"/>
    <w:rsid w:val="008F0AE4"/>
    <w:rsid w:val="008F446C"/>
    <w:rsid w:val="00901BB9"/>
    <w:rsid w:val="00906EC2"/>
    <w:rsid w:val="00912C94"/>
    <w:rsid w:val="00913A82"/>
    <w:rsid w:val="0091551B"/>
    <w:rsid w:val="0092197B"/>
    <w:rsid w:val="009333EC"/>
    <w:rsid w:val="009335C0"/>
    <w:rsid w:val="00980E61"/>
    <w:rsid w:val="009B0E45"/>
    <w:rsid w:val="009E0B67"/>
    <w:rsid w:val="009F774C"/>
    <w:rsid w:val="00A04120"/>
    <w:rsid w:val="00A2790A"/>
    <w:rsid w:val="00A377F0"/>
    <w:rsid w:val="00A47B5B"/>
    <w:rsid w:val="00A53C6F"/>
    <w:rsid w:val="00A8055A"/>
    <w:rsid w:val="00AC6C97"/>
    <w:rsid w:val="00AE18F8"/>
    <w:rsid w:val="00B32D3F"/>
    <w:rsid w:val="00B57C20"/>
    <w:rsid w:val="00B90FAB"/>
    <w:rsid w:val="00B946C6"/>
    <w:rsid w:val="00B964AA"/>
    <w:rsid w:val="00BA6140"/>
    <w:rsid w:val="00BE5252"/>
    <w:rsid w:val="00BF5AA6"/>
    <w:rsid w:val="00C017F5"/>
    <w:rsid w:val="00C14D9E"/>
    <w:rsid w:val="00C15109"/>
    <w:rsid w:val="00C85283"/>
    <w:rsid w:val="00CB4D62"/>
    <w:rsid w:val="00CD6A7E"/>
    <w:rsid w:val="00CE115F"/>
    <w:rsid w:val="00CE47EE"/>
    <w:rsid w:val="00CE4BF1"/>
    <w:rsid w:val="00CF4ABD"/>
    <w:rsid w:val="00D07812"/>
    <w:rsid w:val="00D10D46"/>
    <w:rsid w:val="00D17815"/>
    <w:rsid w:val="00D221F8"/>
    <w:rsid w:val="00D332C7"/>
    <w:rsid w:val="00D415BB"/>
    <w:rsid w:val="00D63042"/>
    <w:rsid w:val="00D66732"/>
    <w:rsid w:val="00D8384E"/>
    <w:rsid w:val="00DA5488"/>
    <w:rsid w:val="00DB5B6D"/>
    <w:rsid w:val="00DC1B6C"/>
    <w:rsid w:val="00DC2107"/>
    <w:rsid w:val="00DC4AF3"/>
    <w:rsid w:val="00DD4528"/>
    <w:rsid w:val="00E15FA3"/>
    <w:rsid w:val="00E63003"/>
    <w:rsid w:val="00E83853"/>
    <w:rsid w:val="00EA159E"/>
    <w:rsid w:val="00EB5302"/>
    <w:rsid w:val="00ED4235"/>
    <w:rsid w:val="00F05C08"/>
    <w:rsid w:val="00F073E0"/>
    <w:rsid w:val="00F121E0"/>
    <w:rsid w:val="00F57ABC"/>
    <w:rsid w:val="00F610F6"/>
    <w:rsid w:val="00F654D1"/>
    <w:rsid w:val="00F8298D"/>
    <w:rsid w:val="00F902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F09E"/>
  <w15:docId w15:val="{BADD1621-0E17-4773-8083-ABFA7A94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40"/>
  </w:style>
  <w:style w:type="paragraph" w:styleId="Ttulo1">
    <w:name w:val="heading 1"/>
    <w:basedOn w:val="Normal"/>
    <w:next w:val="Normal"/>
    <w:link w:val="Ttulo1Car"/>
    <w:uiPriority w:val="9"/>
    <w:qFormat/>
    <w:rsid w:val="004E2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E2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2E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2E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2E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2E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2E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2E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2E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2E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E2E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2E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2E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2E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2E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2E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2E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2EE3"/>
    <w:rPr>
      <w:rFonts w:eastAsiaTheme="majorEastAsia" w:cstheme="majorBidi"/>
      <w:color w:val="272727" w:themeColor="text1" w:themeTint="D8"/>
    </w:rPr>
  </w:style>
  <w:style w:type="paragraph" w:styleId="Ttulo">
    <w:name w:val="Title"/>
    <w:basedOn w:val="Normal"/>
    <w:next w:val="Normal"/>
    <w:link w:val="TtuloCar"/>
    <w:uiPriority w:val="10"/>
    <w:qFormat/>
    <w:rsid w:val="004E2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2E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2E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2E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2EE3"/>
    <w:pPr>
      <w:spacing w:before="160"/>
      <w:jc w:val="center"/>
    </w:pPr>
    <w:rPr>
      <w:i/>
      <w:iCs/>
      <w:color w:val="404040" w:themeColor="text1" w:themeTint="BF"/>
    </w:rPr>
  </w:style>
  <w:style w:type="character" w:customStyle="1" w:styleId="CitaCar">
    <w:name w:val="Cita Car"/>
    <w:basedOn w:val="Fuentedeprrafopredeter"/>
    <w:link w:val="Cita"/>
    <w:uiPriority w:val="29"/>
    <w:rsid w:val="004E2EE3"/>
    <w:rPr>
      <w:i/>
      <w:iCs/>
      <w:color w:val="404040" w:themeColor="text1" w:themeTint="BF"/>
    </w:rPr>
  </w:style>
  <w:style w:type="paragraph" w:styleId="Prrafodelista">
    <w:name w:val="List Paragraph"/>
    <w:basedOn w:val="Normal"/>
    <w:uiPriority w:val="34"/>
    <w:qFormat/>
    <w:rsid w:val="004E2EE3"/>
    <w:pPr>
      <w:ind w:left="720"/>
      <w:contextualSpacing/>
    </w:pPr>
  </w:style>
  <w:style w:type="character" w:styleId="nfasisintenso">
    <w:name w:val="Intense Emphasis"/>
    <w:basedOn w:val="Fuentedeprrafopredeter"/>
    <w:uiPriority w:val="21"/>
    <w:qFormat/>
    <w:rsid w:val="004E2EE3"/>
    <w:rPr>
      <w:i/>
      <w:iCs/>
      <w:color w:val="0F4761" w:themeColor="accent1" w:themeShade="BF"/>
    </w:rPr>
  </w:style>
  <w:style w:type="paragraph" w:styleId="Citadestacada">
    <w:name w:val="Intense Quote"/>
    <w:basedOn w:val="Normal"/>
    <w:next w:val="Normal"/>
    <w:link w:val="CitadestacadaCar"/>
    <w:uiPriority w:val="30"/>
    <w:qFormat/>
    <w:rsid w:val="004E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2EE3"/>
    <w:rPr>
      <w:i/>
      <w:iCs/>
      <w:color w:val="0F4761" w:themeColor="accent1" w:themeShade="BF"/>
    </w:rPr>
  </w:style>
  <w:style w:type="character" w:styleId="Referenciaintensa">
    <w:name w:val="Intense Reference"/>
    <w:basedOn w:val="Fuentedeprrafopredeter"/>
    <w:uiPriority w:val="32"/>
    <w:qFormat/>
    <w:rsid w:val="004E2EE3"/>
    <w:rPr>
      <w:b/>
      <w:bCs/>
      <w:smallCaps/>
      <w:color w:val="0F4761" w:themeColor="accent1" w:themeShade="BF"/>
      <w:spacing w:val="5"/>
    </w:rPr>
  </w:style>
  <w:style w:type="paragraph" w:styleId="NormalWeb">
    <w:name w:val="Normal (Web)"/>
    <w:basedOn w:val="Normal"/>
    <w:uiPriority w:val="99"/>
    <w:semiHidden/>
    <w:unhideWhenUsed/>
    <w:rsid w:val="00F610F6"/>
    <w:rPr>
      <w:rFonts w:ascii="Times New Roman" w:hAnsi="Times New Roman" w:cs="Times New Roman"/>
      <w:sz w:val="24"/>
      <w:szCs w:val="24"/>
    </w:rPr>
  </w:style>
  <w:style w:type="paragraph" w:styleId="Revisin">
    <w:name w:val="Revision"/>
    <w:hidden/>
    <w:uiPriority w:val="99"/>
    <w:semiHidden/>
    <w:rsid w:val="00A53C6F"/>
    <w:pPr>
      <w:spacing w:after="0" w:line="240" w:lineRule="auto"/>
    </w:pPr>
  </w:style>
  <w:style w:type="character" w:styleId="Refdecomentario">
    <w:name w:val="annotation reference"/>
    <w:basedOn w:val="Fuentedeprrafopredeter"/>
    <w:uiPriority w:val="99"/>
    <w:semiHidden/>
    <w:unhideWhenUsed/>
    <w:rsid w:val="00A53C6F"/>
    <w:rPr>
      <w:sz w:val="16"/>
      <w:szCs w:val="16"/>
    </w:rPr>
  </w:style>
  <w:style w:type="paragraph" w:styleId="Textocomentario">
    <w:name w:val="annotation text"/>
    <w:basedOn w:val="Normal"/>
    <w:link w:val="TextocomentarioCar"/>
    <w:uiPriority w:val="99"/>
    <w:unhideWhenUsed/>
    <w:rsid w:val="00A53C6F"/>
    <w:pPr>
      <w:spacing w:line="240" w:lineRule="auto"/>
    </w:pPr>
    <w:rPr>
      <w:sz w:val="20"/>
      <w:szCs w:val="20"/>
    </w:rPr>
  </w:style>
  <w:style w:type="character" w:customStyle="1" w:styleId="TextocomentarioCar">
    <w:name w:val="Texto comentario Car"/>
    <w:basedOn w:val="Fuentedeprrafopredeter"/>
    <w:link w:val="Textocomentario"/>
    <w:uiPriority w:val="99"/>
    <w:rsid w:val="00A53C6F"/>
    <w:rPr>
      <w:sz w:val="20"/>
      <w:szCs w:val="20"/>
    </w:rPr>
  </w:style>
  <w:style w:type="paragraph" w:styleId="Asuntodelcomentario">
    <w:name w:val="annotation subject"/>
    <w:basedOn w:val="Textocomentario"/>
    <w:next w:val="Textocomentario"/>
    <w:link w:val="AsuntodelcomentarioCar"/>
    <w:uiPriority w:val="99"/>
    <w:semiHidden/>
    <w:unhideWhenUsed/>
    <w:rsid w:val="00A53C6F"/>
    <w:rPr>
      <w:b/>
      <w:bCs/>
    </w:rPr>
  </w:style>
  <w:style w:type="character" w:customStyle="1" w:styleId="AsuntodelcomentarioCar">
    <w:name w:val="Asunto del comentario Car"/>
    <w:basedOn w:val="TextocomentarioCar"/>
    <w:link w:val="Asuntodelcomentario"/>
    <w:uiPriority w:val="99"/>
    <w:semiHidden/>
    <w:rsid w:val="00A53C6F"/>
    <w:rPr>
      <w:b/>
      <w:bCs/>
      <w:sz w:val="20"/>
      <w:szCs w:val="20"/>
    </w:rPr>
  </w:style>
  <w:style w:type="paragraph" w:styleId="Textodeglobo">
    <w:name w:val="Balloon Text"/>
    <w:basedOn w:val="Normal"/>
    <w:link w:val="TextodegloboCar"/>
    <w:uiPriority w:val="99"/>
    <w:semiHidden/>
    <w:unhideWhenUsed/>
    <w:rsid w:val="008F44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46C"/>
    <w:rPr>
      <w:rFonts w:ascii="Tahoma" w:hAnsi="Tahoma" w:cs="Tahoma"/>
      <w:sz w:val="16"/>
      <w:szCs w:val="16"/>
    </w:rPr>
  </w:style>
  <w:style w:type="character" w:customStyle="1" w:styleId="aebiu-anl">
    <w:name w:val="aebiu-anl"/>
    <w:basedOn w:val="Fuentedeprrafopredeter"/>
    <w:rsid w:val="00574C7C"/>
  </w:style>
  <w:style w:type="paragraph" w:styleId="Encabezado">
    <w:name w:val="header"/>
    <w:basedOn w:val="Normal"/>
    <w:link w:val="EncabezadoCar"/>
    <w:uiPriority w:val="99"/>
    <w:semiHidden/>
    <w:unhideWhenUsed/>
    <w:rsid w:val="00F57A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7ABC"/>
  </w:style>
  <w:style w:type="paragraph" w:styleId="Piedepgina">
    <w:name w:val="footer"/>
    <w:basedOn w:val="Normal"/>
    <w:link w:val="PiedepginaCar"/>
    <w:uiPriority w:val="99"/>
    <w:unhideWhenUsed/>
    <w:rsid w:val="00F57A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55">
      <w:bodyDiv w:val="1"/>
      <w:marLeft w:val="0"/>
      <w:marRight w:val="0"/>
      <w:marTop w:val="0"/>
      <w:marBottom w:val="0"/>
      <w:divBdr>
        <w:top w:val="none" w:sz="0" w:space="0" w:color="auto"/>
        <w:left w:val="none" w:sz="0" w:space="0" w:color="auto"/>
        <w:bottom w:val="none" w:sz="0" w:space="0" w:color="auto"/>
        <w:right w:val="none" w:sz="0" w:space="0" w:color="auto"/>
      </w:divBdr>
      <w:divsChild>
        <w:div w:id="1900359535">
          <w:marLeft w:val="0"/>
          <w:marRight w:val="0"/>
          <w:marTop w:val="0"/>
          <w:marBottom w:val="0"/>
          <w:divBdr>
            <w:top w:val="none" w:sz="0" w:space="0" w:color="auto"/>
            <w:left w:val="none" w:sz="0" w:space="0" w:color="auto"/>
            <w:bottom w:val="none" w:sz="0" w:space="0" w:color="auto"/>
            <w:right w:val="none" w:sz="0" w:space="0" w:color="auto"/>
          </w:divBdr>
          <w:divsChild>
            <w:div w:id="1849832808">
              <w:marLeft w:val="0"/>
              <w:marRight w:val="0"/>
              <w:marTop w:val="0"/>
              <w:marBottom w:val="0"/>
              <w:divBdr>
                <w:top w:val="none" w:sz="0" w:space="0" w:color="auto"/>
                <w:left w:val="none" w:sz="0" w:space="0" w:color="auto"/>
                <w:bottom w:val="none" w:sz="0" w:space="0" w:color="auto"/>
                <w:right w:val="none" w:sz="0" w:space="0" w:color="auto"/>
              </w:divBdr>
              <w:divsChild>
                <w:div w:id="830757760">
                  <w:marLeft w:val="0"/>
                  <w:marRight w:val="0"/>
                  <w:marTop w:val="0"/>
                  <w:marBottom w:val="0"/>
                  <w:divBdr>
                    <w:top w:val="none" w:sz="0" w:space="0" w:color="auto"/>
                    <w:left w:val="none" w:sz="0" w:space="0" w:color="auto"/>
                    <w:bottom w:val="none" w:sz="0" w:space="0" w:color="auto"/>
                    <w:right w:val="none" w:sz="0" w:space="0" w:color="auto"/>
                  </w:divBdr>
                  <w:divsChild>
                    <w:div w:id="852762697">
                      <w:marLeft w:val="0"/>
                      <w:marRight w:val="0"/>
                      <w:marTop w:val="120"/>
                      <w:marBottom w:val="0"/>
                      <w:divBdr>
                        <w:top w:val="none" w:sz="0" w:space="0" w:color="auto"/>
                        <w:left w:val="none" w:sz="0" w:space="0" w:color="auto"/>
                        <w:bottom w:val="none" w:sz="0" w:space="0" w:color="auto"/>
                        <w:right w:val="none" w:sz="0" w:space="0" w:color="auto"/>
                      </w:divBdr>
                      <w:divsChild>
                        <w:div w:id="453332148">
                          <w:marLeft w:val="0"/>
                          <w:marRight w:val="0"/>
                          <w:marTop w:val="0"/>
                          <w:marBottom w:val="0"/>
                          <w:divBdr>
                            <w:top w:val="none" w:sz="0" w:space="0" w:color="auto"/>
                            <w:left w:val="none" w:sz="0" w:space="0" w:color="auto"/>
                            <w:bottom w:val="none" w:sz="0" w:space="0" w:color="auto"/>
                            <w:right w:val="none" w:sz="0" w:space="0" w:color="auto"/>
                          </w:divBdr>
                          <w:divsChild>
                            <w:div w:id="1216039131">
                              <w:marLeft w:val="0"/>
                              <w:marRight w:val="0"/>
                              <w:marTop w:val="0"/>
                              <w:marBottom w:val="0"/>
                              <w:divBdr>
                                <w:top w:val="none" w:sz="0" w:space="0" w:color="auto"/>
                                <w:left w:val="none" w:sz="0" w:space="0" w:color="auto"/>
                                <w:bottom w:val="none" w:sz="0" w:space="0" w:color="auto"/>
                                <w:right w:val="none" w:sz="0" w:space="0" w:color="auto"/>
                              </w:divBdr>
                              <w:divsChild>
                                <w:div w:id="1175682689">
                                  <w:marLeft w:val="0"/>
                                  <w:marRight w:val="0"/>
                                  <w:marTop w:val="0"/>
                                  <w:marBottom w:val="0"/>
                                  <w:divBdr>
                                    <w:top w:val="none" w:sz="0" w:space="0" w:color="auto"/>
                                    <w:left w:val="none" w:sz="0" w:space="0" w:color="auto"/>
                                    <w:bottom w:val="none" w:sz="0" w:space="0" w:color="auto"/>
                                    <w:right w:val="none" w:sz="0" w:space="0" w:color="auto"/>
                                  </w:divBdr>
                                  <w:divsChild>
                                    <w:div w:id="1802110536">
                                      <w:marLeft w:val="0"/>
                                      <w:marRight w:val="0"/>
                                      <w:marTop w:val="0"/>
                                      <w:marBottom w:val="0"/>
                                      <w:divBdr>
                                        <w:top w:val="none" w:sz="0" w:space="0" w:color="auto"/>
                                        <w:left w:val="none" w:sz="0" w:space="0" w:color="auto"/>
                                        <w:bottom w:val="none" w:sz="0" w:space="0" w:color="auto"/>
                                        <w:right w:val="none" w:sz="0" w:space="0" w:color="auto"/>
                                      </w:divBdr>
                                    </w:div>
                                    <w:div w:id="52702809">
                                      <w:marLeft w:val="0"/>
                                      <w:marRight w:val="0"/>
                                      <w:marTop w:val="0"/>
                                      <w:marBottom w:val="0"/>
                                      <w:divBdr>
                                        <w:top w:val="none" w:sz="0" w:space="0" w:color="auto"/>
                                        <w:left w:val="none" w:sz="0" w:space="0" w:color="auto"/>
                                        <w:bottom w:val="none" w:sz="0" w:space="0" w:color="auto"/>
                                        <w:right w:val="none" w:sz="0" w:space="0" w:color="auto"/>
                                      </w:divBdr>
                                    </w:div>
                                    <w:div w:id="716667472">
                                      <w:marLeft w:val="0"/>
                                      <w:marRight w:val="0"/>
                                      <w:marTop w:val="0"/>
                                      <w:marBottom w:val="0"/>
                                      <w:divBdr>
                                        <w:top w:val="none" w:sz="0" w:space="0" w:color="auto"/>
                                        <w:left w:val="none" w:sz="0" w:space="0" w:color="auto"/>
                                        <w:bottom w:val="none" w:sz="0" w:space="0" w:color="auto"/>
                                        <w:right w:val="none" w:sz="0" w:space="0" w:color="auto"/>
                                      </w:divBdr>
                                    </w:div>
                                    <w:div w:id="2091727899">
                                      <w:marLeft w:val="0"/>
                                      <w:marRight w:val="0"/>
                                      <w:marTop w:val="0"/>
                                      <w:marBottom w:val="0"/>
                                      <w:divBdr>
                                        <w:top w:val="none" w:sz="0" w:space="0" w:color="auto"/>
                                        <w:left w:val="none" w:sz="0" w:space="0" w:color="auto"/>
                                        <w:bottom w:val="none" w:sz="0" w:space="0" w:color="auto"/>
                                        <w:right w:val="none" w:sz="0" w:space="0" w:color="auto"/>
                                      </w:divBdr>
                                    </w:div>
                                    <w:div w:id="1926835735">
                                      <w:marLeft w:val="0"/>
                                      <w:marRight w:val="0"/>
                                      <w:marTop w:val="0"/>
                                      <w:marBottom w:val="0"/>
                                      <w:divBdr>
                                        <w:top w:val="none" w:sz="0" w:space="0" w:color="auto"/>
                                        <w:left w:val="none" w:sz="0" w:space="0" w:color="auto"/>
                                        <w:bottom w:val="none" w:sz="0" w:space="0" w:color="auto"/>
                                        <w:right w:val="none" w:sz="0" w:space="0" w:color="auto"/>
                                      </w:divBdr>
                                    </w:div>
                                    <w:div w:id="913245306">
                                      <w:marLeft w:val="0"/>
                                      <w:marRight w:val="0"/>
                                      <w:marTop w:val="0"/>
                                      <w:marBottom w:val="0"/>
                                      <w:divBdr>
                                        <w:top w:val="none" w:sz="0" w:space="0" w:color="auto"/>
                                        <w:left w:val="none" w:sz="0" w:space="0" w:color="auto"/>
                                        <w:bottom w:val="none" w:sz="0" w:space="0" w:color="auto"/>
                                        <w:right w:val="none" w:sz="0" w:space="0" w:color="auto"/>
                                      </w:divBdr>
                                    </w:div>
                                    <w:div w:id="13333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3646">
          <w:marLeft w:val="0"/>
          <w:marRight w:val="0"/>
          <w:marTop w:val="0"/>
          <w:marBottom w:val="0"/>
          <w:divBdr>
            <w:top w:val="none" w:sz="0" w:space="0" w:color="auto"/>
            <w:left w:val="none" w:sz="0" w:space="0" w:color="auto"/>
            <w:bottom w:val="none" w:sz="0" w:space="0" w:color="auto"/>
            <w:right w:val="none" w:sz="0" w:space="0" w:color="auto"/>
          </w:divBdr>
          <w:divsChild>
            <w:div w:id="1086879147">
              <w:marLeft w:val="0"/>
              <w:marRight w:val="0"/>
              <w:marTop w:val="0"/>
              <w:marBottom w:val="0"/>
              <w:divBdr>
                <w:top w:val="none" w:sz="0" w:space="0" w:color="auto"/>
                <w:left w:val="none" w:sz="0" w:space="0" w:color="auto"/>
                <w:bottom w:val="none" w:sz="0" w:space="0" w:color="auto"/>
                <w:right w:val="none" w:sz="0" w:space="0" w:color="auto"/>
              </w:divBdr>
              <w:divsChild>
                <w:div w:id="656348253">
                  <w:marLeft w:val="0"/>
                  <w:marRight w:val="0"/>
                  <w:marTop w:val="0"/>
                  <w:marBottom w:val="0"/>
                  <w:divBdr>
                    <w:top w:val="none" w:sz="0" w:space="0" w:color="auto"/>
                    <w:left w:val="none" w:sz="0" w:space="0" w:color="auto"/>
                    <w:bottom w:val="none" w:sz="0" w:space="0" w:color="auto"/>
                    <w:right w:val="none" w:sz="0" w:space="0" w:color="auto"/>
                  </w:divBdr>
                  <w:divsChild>
                    <w:div w:id="1807238133">
                      <w:marLeft w:val="0"/>
                      <w:marRight w:val="0"/>
                      <w:marTop w:val="0"/>
                      <w:marBottom w:val="0"/>
                      <w:divBdr>
                        <w:top w:val="none" w:sz="0" w:space="0" w:color="auto"/>
                        <w:left w:val="none" w:sz="0" w:space="0" w:color="auto"/>
                        <w:bottom w:val="none" w:sz="0" w:space="0" w:color="auto"/>
                        <w:right w:val="none" w:sz="0" w:space="0" w:color="auto"/>
                      </w:divBdr>
                      <w:divsChild>
                        <w:div w:id="75521126">
                          <w:marLeft w:val="0"/>
                          <w:marRight w:val="0"/>
                          <w:marTop w:val="0"/>
                          <w:marBottom w:val="0"/>
                          <w:divBdr>
                            <w:top w:val="none" w:sz="0" w:space="0" w:color="auto"/>
                            <w:left w:val="none" w:sz="0" w:space="0" w:color="auto"/>
                            <w:bottom w:val="none" w:sz="0" w:space="0" w:color="auto"/>
                            <w:right w:val="none" w:sz="0" w:space="0" w:color="auto"/>
                          </w:divBdr>
                          <w:divsChild>
                            <w:div w:id="1706714983">
                              <w:marLeft w:val="0"/>
                              <w:marRight w:val="0"/>
                              <w:marTop w:val="0"/>
                              <w:marBottom w:val="0"/>
                              <w:divBdr>
                                <w:top w:val="none" w:sz="0" w:space="0" w:color="auto"/>
                                <w:left w:val="none" w:sz="0" w:space="0" w:color="auto"/>
                                <w:bottom w:val="none" w:sz="0" w:space="0" w:color="auto"/>
                                <w:right w:val="none" w:sz="0" w:space="0" w:color="auto"/>
                              </w:divBdr>
                              <w:divsChild>
                                <w:div w:id="1497960590">
                                  <w:marLeft w:val="0"/>
                                  <w:marRight w:val="0"/>
                                  <w:marTop w:val="0"/>
                                  <w:marBottom w:val="0"/>
                                  <w:divBdr>
                                    <w:top w:val="none" w:sz="0" w:space="0" w:color="auto"/>
                                    <w:left w:val="none" w:sz="0" w:space="0" w:color="auto"/>
                                    <w:bottom w:val="none" w:sz="0" w:space="0" w:color="auto"/>
                                    <w:right w:val="none" w:sz="0" w:space="0" w:color="auto"/>
                                  </w:divBdr>
                                </w:div>
                                <w:div w:id="501167916">
                                  <w:marLeft w:val="0"/>
                                  <w:marRight w:val="0"/>
                                  <w:marTop w:val="0"/>
                                  <w:marBottom w:val="0"/>
                                  <w:divBdr>
                                    <w:top w:val="none" w:sz="0" w:space="0" w:color="auto"/>
                                    <w:left w:val="none" w:sz="0" w:space="0" w:color="auto"/>
                                    <w:bottom w:val="none" w:sz="0" w:space="0" w:color="auto"/>
                                    <w:right w:val="none" w:sz="0" w:space="0" w:color="auto"/>
                                  </w:divBdr>
                                </w:div>
                                <w:div w:id="1570338126">
                                  <w:marLeft w:val="0"/>
                                  <w:marRight w:val="120"/>
                                  <w:marTop w:val="0"/>
                                  <w:marBottom w:val="0"/>
                                  <w:divBdr>
                                    <w:top w:val="none" w:sz="0" w:space="0" w:color="auto"/>
                                    <w:left w:val="none" w:sz="0" w:space="0" w:color="auto"/>
                                    <w:bottom w:val="none" w:sz="0" w:space="0" w:color="auto"/>
                                    <w:right w:val="none" w:sz="0" w:space="0" w:color="auto"/>
                                  </w:divBdr>
                                  <w:divsChild>
                                    <w:div w:id="7397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5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1623</Words>
  <Characters>8899</Characters>
  <Application>Microsoft Office Word</Application>
  <DocSecurity>0</DocSecurity>
  <Lines>123</Lines>
  <Paragraphs>16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Tokman Ramos</dc:creator>
  <cp:lastModifiedBy>Juan Pablo Medina Guzman</cp:lastModifiedBy>
  <cp:revision>9</cp:revision>
  <dcterms:created xsi:type="dcterms:W3CDTF">2026-01-25T21:05:00Z</dcterms:created>
  <dcterms:modified xsi:type="dcterms:W3CDTF">2026-01-26T00:09:00Z</dcterms:modified>
</cp:coreProperties>
</file>