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640C8" w14:textId="77777777" w:rsidR="00EF0D4E" w:rsidRPr="00EF0D4E" w:rsidRDefault="005B1C63" w:rsidP="005B1C63">
      <w:pPr>
        <w:pStyle w:val="Ttulo"/>
        <w:ind w:right="-522"/>
        <w:rPr>
          <w:rFonts w:ascii="Times New Roman" w:hAnsi="Times New Roman" w:cs="Times New Roman"/>
          <w:b/>
          <w:bCs/>
          <w:color w:val="808080"/>
          <w:sz w:val="32"/>
          <w:szCs w:val="32"/>
          <w:lang w:val="es-CL"/>
        </w:rPr>
      </w:pPr>
      <w:r>
        <w:rPr>
          <w:noProof/>
          <w:lang w:val="es-CL" w:eastAsia="es-CL"/>
        </w:rPr>
        <w:drawing>
          <wp:anchor distT="0" distB="0" distL="114300" distR="114300" simplePos="0" relativeHeight="251659264" behindDoc="0" locked="0" layoutInCell="0" allowOverlap="1" wp14:anchorId="26985B6F" wp14:editId="3DF87C41">
            <wp:simplePos x="0" y="0"/>
            <wp:positionH relativeFrom="column">
              <wp:posOffset>-243840</wp:posOffset>
            </wp:positionH>
            <wp:positionV relativeFrom="paragraph">
              <wp:posOffset>1905</wp:posOffset>
            </wp:positionV>
            <wp:extent cx="6515100" cy="1038225"/>
            <wp:effectExtent l="0" t="0" r="0" b="9525"/>
            <wp:wrapTight wrapText="bothSides">
              <wp:wrapPolygon edited="0">
                <wp:start x="0" y="0"/>
                <wp:lineTo x="0" y="21402"/>
                <wp:lineTo x="21537" y="21402"/>
                <wp:lineTo x="21537" y="0"/>
                <wp:lineTo x="0" y="0"/>
              </wp:wrapPolygon>
            </wp:wrapTight>
            <wp:docPr id="1" name="Imagen 1" descr="Descripción: Descripción: bannersin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bannersinfoto"/>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6515100" cy="1038225"/>
                    </a:xfrm>
                    <a:prstGeom prst="rect">
                      <a:avLst/>
                    </a:prstGeom>
                    <a:noFill/>
                  </pic:spPr>
                </pic:pic>
              </a:graphicData>
            </a:graphic>
          </wp:anchor>
        </w:drawing>
      </w:r>
      <w:r w:rsidR="00EF0D4E" w:rsidRPr="00EF0D4E">
        <w:rPr>
          <w:rFonts w:ascii="Times New Roman" w:hAnsi="Times New Roman" w:cs="Times New Roman"/>
          <w:b/>
          <w:bCs/>
          <w:color w:val="808080"/>
          <w:sz w:val="32"/>
          <w:szCs w:val="32"/>
          <w:lang w:val="es-CL"/>
        </w:rPr>
        <w:t xml:space="preserve">Comunicado Lunes </w:t>
      </w:r>
      <w:r w:rsidR="00EF0D4E">
        <w:rPr>
          <w:rFonts w:ascii="Times New Roman" w:hAnsi="Times New Roman" w:cs="Times New Roman"/>
          <w:b/>
          <w:bCs/>
          <w:color w:val="808080"/>
          <w:sz w:val="32"/>
          <w:szCs w:val="32"/>
          <w:lang w:val="es-CL"/>
        </w:rPr>
        <w:t>23</w:t>
      </w:r>
      <w:r w:rsidR="00EF0D4E" w:rsidRPr="00EF0D4E">
        <w:rPr>
          <w:rFonts w:ascii="Times New Roman" w:hAnsi="Times New Roman" w:cs="Times New Roman"/>
          <w:b/>
          <w:bCs/>
          <w:color w:val="808080"/>
          <w:sz w:val="32"/>
          <w:szCs w:val="32"/>
          <w:lang w:val="es-CL"/>
        </w:rPr>
        <w:t xml:space="preserve"> de </w:t>
      </w:r>
      <w:r w:rsidR="00EF0D4E">
        <w:rPr>
          <w:rFonts w:ascii="Times New Roman" w:hAnsi="Times New Roman" w:cs="Times New Roman"/>
          <w:b/>
          <w:bCs/>
          <w:color w:val="808080"/>
          <w:sz w:val="32"/>
          <w:szCs w:val="32"/>
          <w:lang w:val="es-CL"/>
        </w:rPr>
        <w:t>marzo</w:t>
      </w:r>
      <w:r w:rsidR="00EF0D4E" w:rsidRPr="00EF0D4E">
        <w:rPr>
          <w:rFonts w:ascii="Times New Roman" w:hAnsi="Times New Roman" w:cs="Times New Roman"/>
          <w:b/>
          <w:bCs/>
          <w:color w:val="808080"/>
          <w:sz w:val="32"/>
          <w:szCs w:val="32"/>
          <w:lang w:val="es-CL"/>
        </w:rPr>
        <w:t xml:space="preserve"> de 2026</w:t>
      </w:r>
    </w:p>
    <w:p w14:paraId="32B018F1" w14:textId="77777777" w:rsidR="00EF0D4E" w:rsidRPr="00EF0D4E" w:rsidRDefault="00EF0D4E" w:rsidP="00EF0D4E">
      <w:pPr>
        <w:rPr>
          <w:rFonts w:ascii="Times New Roman" w:hAnsi="Times New Roman" w:cs="Times New Roman"/>
          <w:b/>
          <w:lang w:val="es-CL"/>
        </w:rPr>
      </w:pPr>
      <w:r w:rsidRPr="00EF0D4E">
        <w:rPr>
          <w:rFonts w:ascii="Times New Roman" w:hAnsi="Times New Roman" w:cs="Times New Roman"/>
          <w:b/>
          <w:lang w:val="es-CL"/>
        </w:rPr>
        <w:t>EUGENIA ANDREASEN, CARLOS BUDNEVICH, JUAN PABLO MEDINA Y</w:t>
      </w:r>
      <w:r w:rsidRPr="00EF0D4E">
        <w:rPr>
          <w:lang w:val="es-CL"/>
        </w:rPr>
        <w:t xml:space="preserve"> </w:t>
      </w:r>
      <w:r w:rsidRPr="00EF0D4E">
        <w:rPr>
          <w:rFonts w:ascii="Times New Roman" w:hAnsi="Times New Roman" w:cs="Times New Roman"/>
          <w:b/>
          <w:lang w:val="es-CL"/>
        </w:rPr>
        <w:t xml:space="preserve">ANDREA TOKMAN </w:t>
      </w:r>
    </w:p>
    <w:p w14:paraId="28B998B0" w14:textId="11507585" w:rsidR="00725795" w:rsidRPr="00725795" w:rsidRDefault="00725795" w:rsidP="00725795">
      <w:pPr>
        <w:jc w:val="both"/>
        <w:rPr>
          <w:rFonts w:ascii="Times New Roman" w:hAnsi="Times New Roman" w:cs="Times New Roman"/>
          <w:b/>
          <w:bCs/>
          <w:lang w:val="es-CL"/>
        </w:rPr>
      </w:pPr>
      <w:r w:rsidRPr="00725795">
        <w:rPr>
          <w:rFonts w:ascii="Times New Roman" w:hAnsi="Times New Roman" w:cs="Times New Roman"/>
          <w:b/>
          <w:bCs/>
          <w:lang w:val="es-CL"/>
        </w:rPr>
        <w:t xml:space="preserve">La economía global ha enfrentado un cambio relevante en su balance de riesgos durante las últimas semanas. Tras iniciar el año con señales de resiliencia en la actividad y con una inflación que avanzaba gradualmente hacia niveles consistentes con las metas de los bancos centrales, el recrudecimiento del conflicto en Medio Oriente ha elevado de manera significativa la incertidumbre global, introduciendo un shock de oferta de magnitud potencialmente relevante y aumentando los riesgos al alza para la inflación y a la baja para la actividad. En Chile, si bien el proceso desinflacionario ha avanzado más rápido de lo esperado </w:t>
      </w:r>
      <w:r w:rsidR="00635BE1">
        <w:rPr>
          <w:rFonts w:ascii="Times New Roman" w:hAnsi="Times New Roman" w:cs="Times New Roman"/>
          <w:b/>
          <w:bCs/>
          <w:lang w:val="es-CL"/>
        </w:rPr>
        <w:t>en meses recientes</w:t>
      </w:r>
      <w:r w:rsidRPr="00725795">
        <w:rPr>
          <w:rFonts w:ascii="Times New Roman" w:hAnsi="Times New Roman" w:cs="Times New Roman"/>
          <w:b/>
          <w:bCs/>
          <w:lang w:val="es-CL"/>
        </w:rPr>
        <w:t>, el deterioro reciente de las expectativas inflacionarias y el endurecimiento de las condiciones financieras refuerzan la necesidad de cautela. En este contexto, el Grupo de Política Monetaria recomienda mantener la Tasa de Política Monetaria en 4,5% en la reunión de marzo, a la espera de contar con mayor claridad sobre la magnitud y persistencia de los shocks recientes y su impacto sobre la inflación y la actividad.</w:t>
      </w:r>
    </w:p>
    <w:p w14:paraId="404632DB" w14:textId="767AB087" w:rsidR="00201F59" w:rsidRDefault="002D1F40" w:rsidP="00247DA7">
      <w:pPr>
        <w:jc w:val="both"/>
        <w:rPr>
          <w:rFonts w:ascii="Times New Roman" w:hAnsi="Times New Roman" w:cs="Times New Roman"/>
          <w:lang w:val="es-CL"/>
        </w:rPr>
      </w:pPr>
      <w:r w:rsidRPr="00C63309">
        <w:rPr>
          <w:rFonts w:ascii="Times New Roman" w:hAnsi="Times New Roman" w:cs="Times New Roman"/>
          <w:lang w:val="es-CL"/>
        </w:rPr>
        <w:t xml:space="preserve">Desde la reunión de enero y hasta </w:t>
      </w:r>
      <w:r w:rsidR="00322744">
        <w:rPr>
          <w:rFonts w:ascii="Times New Roman" w:hAnsi="Times New Roman" w:cs="Times New Roman"/>
          <w:lang w:val="es-CL"/>
        </w:rPr>
        <w:t>fines</w:t>
      </w:r>
      <w:r w:rsidR="00322744" w:rsidRPr="00C63309">
        <w:rPr>
          <w:rFonts w:ascii="Times New Roman" w:hAnsi="Times New Roman" w:cs="Times New Roman"/>
          <w:lang w:val="es-CL"/>
        </w:rPr>
        <w:t xml:space="preserve"> </w:t>
      </w:r>
      <w:r w:rsidRPr="00C63309">
        <w:rPr>
          <w:rFonts w:ascii="Times New Roman" w:hAnsi="Times New Roman" w:cs="Times New Roman"/>
          <w:lang w:val="es-CL"/>
        </w:rPr>
        <w:t>de febrero, la economía global continu</w:t>
      </w:r>
      <w:r w:rsidR="00BF0FC1">
        <w:rPr>
          <w:rFonts w:ascii="Times New Roman" w:hAnsi="Times New Roman" w:cs="Times New Roman"/>
          <w:lang w:val="es-CL"/>
        </w:rPr>
        <w:t>aba</w:t>
      </w:r>
      <w:r w:rsidRPr="00C63309">
        <w:rPr>
          <w:rFonts w:ascii="Times New Roman" w:hAnsi="Times New Roman" w:cs="Times New Roman"/>
          <w:lang w:val="es-CL"/>
        </w:rPr>
        <w:t xml:space="preserve"> mostrando señales de</w:t>
      </w:r>
      <w:r w:rsidRPr="00957D48">
        <w:rPr>
          <w:rFonts w:ascii="Times New Roman" w:hAnsi="Times New Roman" w:cs="Times New Roman"/>
          <w:lang w:val="es-CL"/>
        </w:rPr>
        <w:t xml:space="preserve"> resiliencia en la actividad, con una inflación que, en la mayoría de las economías avanzadas, seguía avanzando gradualmente hacia niveles consistentes con sus metas de mediano plazo, en línea con lo observado hacia el cierre de 2025. </w:t>
      </w:r>
      <w:r w:rsidR="00BF0FC1" w:rsidRPr="00987AC9">
        <w:rPr>
          <w:lang w:val="es-CL"/>
        </w:rPr>
        <w:t xml:space="preserve">El recrudecimiento del conflicto bélico en Medio Oriente </w:t>
      </w:r>
      <w:r w:rsidR="00BF0FC1">
        <w:rPr>
          <w:lang w:val="es-CL"/>
        </w:rPr>
        <w:t>desde fines de febrero modificó</w:t>
      </w:r>
      <w:r w:rsidR="00BF0FC1" w:rsidRPr="00987AC9">
        <w:rPr>
          <w:lang w:val="es-CL"/>
        </w:rPr>
        <w:t xml:space="preserve"> sustancialmente el escenario macroeconómico global</w:t>
      </w:r>
      <w:r w:rsidR="00BF0FC1">
        <w:rPr>
          <w:lang w:val="es-CL"/>
        </w:rPr>
        <w:t xml:space="preserve">, </w:t>
      </w:r>
      <w:r w:rsidR="00BF0FC1" w:rsidRPr="00957D48">
        <w:rPr>
          <w:rFonts w:ascii="Times New Roman" w:hAnsi="Times New Roman" w:cs="Times New Roman"/>
          <w:lang w:val="es-CL"/>
        </w:rPr>
        <w:t>incrementa</w:t>
      </w:r>
      <w:r w:rsidR="00BF0FC1">
        <w:rPr>
          <w:rFonts w:ascii="Times New Roman" w:hAnsi="Times New Roman" w:cs="Times New Roman"/>
          <w:lang w:val="es-CL"/>
        </w:rPr>
        <w:t>do</w:t>
      </w:r>
      <w:r w:rsidR="00BF0FC1" w:rsidRPr="00957D48">
        <w:rPr>
          <w:rFonts w:ascii="Times New Roman" w:hAnsi="Times New Roman" w:cs="Times New Roman"/>
          <w:lang w:val="es-CL"/>
        </w:rPr>
        <w:t xml:space="preserve"> sustancialmente la incertidumbre y modificado el balance de riesgos para la inflación y la actividad.</w:t>
      </w:r>
      <w:r w:rsidR="00BF0FC1" w:rsidRPr="00C63309">
        <w:rPr>
          <w:lang w:val="es-CL"/>
        </w:rPr>
        <w:t xml:space="preserve"> </w:t>
      </w:r>
      <w:r w:rsidR="00247DA7">
        <w:rPr>
          <w:rFonts w:ascii="Times New Roman" w:hAnsi="Times New Roman" w:cs="Times New Roman"/>
          <w:lang w:val="es-CL"/>
        </w:rPr>
        <w:t>El</w:t>
      </w:r>
      <w:r w:rsidR="00201F59" w:rsidRPr="00FE5C0B">
        <w:rPr>
          <w:rFonts w:ascii="Times New Roman" w:hAnsi="Times New Roman" w:cs="Times New Roman"/>
          <w:lang w:val="es-CL"/>
        </w:rPr>
        <w:t xml:space="preserve"> shock de oferta</w:t>
      </w:r>
      <w:r w:rsidR="00171765">
        <w:rPr>
          <w:rFonts w:ascii="Times New Roman" w:hAnsi="Times New Roman" w:cs="Times New Roman"/>
          <w:lang w:val="es-CL"/>
        </w:rPr>
        <w:t xml:space="preserve"> se ha</w:t>
      </w:r>
      <w:r w:rsidR="00201F59" w:rsidRPr="00FE5C0B">
        <w:rPr>
          <w:rFonts w:ascii="Times New Roman" w:hAnsi="Times New Roman" w:cs="Times New Roman"/>
          <w:lang w:val="es-CL"/>
        </w:rPr>
        <w:t xml:space="preserve"> reflejado en fuertes alzas en los precios de la energía —incluyendo petróleo, gas y fertilizantes—, mayores costos de transporte</w:t>
      </w:r>
      <w:r w:rsidR="00201F59">
        <w:rPr>
          <w:rFonts w:ascii="Times New Roman" w:hAnsi="Times New Roman" w:cs="Times New Roman"/>
          <w:lang w:val="es-CL"/>
        </w:rPr>
        <w:t xml:space="preserve"> y primas de seguros</w:t>
      </w:r>
      <w:r w:rsidR="00201F59" w:rsidRPr="00FE5C0B">
        <w:rPr>
          <w:rFonts w:ascii="Times New Roman" w:hAnsi="Times New Roman" w:cs="Times New Roman"/>
          <w:lang w:val="es-CL"/>
        </w:rPr>
        <w:t xml:space="preserve"> y una elevada volatilidad en los mercados financieros. Este episodio ha fortalecido la demanda por activos de refugio, apreciando al dólar a nivel global</w:t>
      </w:r>
      <w:r w:rsidR="00280B02">
        <w:rPr>
          <w:rFonts w:ascii="Times New Roman" w:hAnsi="Times New Roman" w:cs="Times New Roman"/>
          <w:lang w:val="es-CL"/>
        </w:rPr>
        <w:t xml:space="preserve">, alza de tasas </w:t>
      </w:r>
      <w:r w:rsidR="00C63309">
        <w:rPr>
          <w:rFonts w:ascii="Times New Roman" w:hAnsi="Times New Roman" w:cs="Times New Roman"/>
          <w:lang w:val="es-CL"/>
        </w:rPr>
        <w:t>largas, y</w:t>
      </w:r>
      <w:r w:rsidR="00280B02">
        <w:rPr>
          <w:rFonts w:ascii="Times New Roman" w:hAnsi="Times New Roman" w:cs="Times New Roman"/>
          <w:lang w:val="es-CL"/>
        </w:rPr>
        <w:t xml:space="preserve"> </w:t>
      </w:r>
      <w:r w:rsidRPr="00721344">
        <w:rPr>
          <w:rFonts w:ascii="Times New Roman" w:hAnsi="Times New Roman" w:cs="Times New Roman"/>
          <w:lang w:val="es-CL"/>
        </w:rPr>
        <w:t>correcciones en los mercados accionarios.</w:t>
      </w:r>
    </w:p>
    <w:p w14:paraId="03FFC6F4" w14:textId="5BD31DD5" w:rsidR="00B80D65" w:rsidRDefault="00280B02" w:rsidP="00201F59">
      <w:pPr>
        <w:jc w:val="both"/>
        <w:rPr>
          <w:rFonts w:ascii="Times New Roman" w:hAnsi="Times New Roman" w:cs="Times New Roman"/>
          <w:lang w:val="es-CL"/>
        </w:rPr>
      </w:pPr>
      <w:r>
        <w:rPr>
          <w:rFonts w:ascii="Times New Roman" w:hAnsi="Times New Roman" w:cs="Times New Roman"/>
          <w:lang w:val="es-CL"/>
        </w:rPr>
        <w:t>L</w:t>
      </w:r>
      <w:r w:rsidRPr="00607E3F">
        <w:rPr>
          <w:rFonts w:ascii="Times New Roman" w:hAnsi="Times New Roman" w:cs="Times New Roman"/>
          <w:lang w:val="es-CL"/>
        </w:rPr>
        <w:t>os principales bancos centrales —incluyendo la Reserva Federal de Estados Unidos, el Banco Central Europeo y el Banco de Inglaterra— optaron por mantener sus tasas de política monetaria, destacando en sus comunicados el aumento de la incertidumbre y los riesgos al alza para la inflación asociados a la guerra y destrucción de cadenas globales</w:t>
      </w:r>
      <w:r w:rsidR="00C36536">
        <w:rPr>
          <w:rFonts w:ascii="Times New Roman" w:hAnsi="Times New Roman" w:cs="Times New Roman"/>
          <w:lang w:val="es-CL"/>
        </w:rPr>
        <w:t xml:space="preserve"> e infraestructura crítica</w:t>
      </w:r>
      <w:r w:rsidRPr="00607E3F">
        <w:rPr>
          <w:rFonts w:ascii="Times New Roman" w:hAnsi="Times New Roman" w:cs="Times New Roman"/>
          <w:lang w:val="es-CL"/>
        </w:rPr>
        <w:t xml:space="preserve">. </w:t>
      </w:r>
      <w:r>
        <w:rPr>
          <w:rFonts w:ascii="Times New Roman" w:hAnsi="Times New Roman" w:cs="Times New Roman"/>
          <w:lang w:val="es-CL"/>
        </w:rPr>
        <w:t xml:space="preserve">En las nuevas proyecciones se incorporaron alzas de corto plazo en inflación y bajas en el crecimiento de la actividad, pero sin cambios relevantes en el escenario a mediano plazo. </w:t>
      </w:r>
      <w:r w:rsidRPr="00607E3F">
        <w:rPr>
          <w:rFonts w:ascii="Times New Roman" w:hAnsi="Times New Roman" w:cs="Times New Roman"/>
          <w:lang w:val="es-CL"/>
        </w:rPr>
        <w:t xml:space="preserve">Estas decisiones refuerzan una postura de espera, orientada a evaluar con mayor claridad la magnitud y persistencia de los efectos inflacionarios antes de ajustar </w:t>
      </w:r>
      <w:r w:rsidR="00020952">
        <w:rPr>
          <w:rFonts w:ascii="Times New Roman" w:hAnsi="Times New Roman" w:cs="Times New Roman"/>
          <w:lang w:val="es-CL"/>
        </w:rPr>
        <w:t>la dirección</w:t>
      </w:r>
      <w:r w:rsidRPr="00607E3F">
        <w:rPr>
          <w:rFonts w:ascii="Times New Roman" w:hAnsi="Times New Roman" w:cs="Times New Roman"/>
          <w:lang w:val="es-CL"/>
        </w:rPr>
        <w:t xml:space="preserve"> de</w:t>
      </w:r>
      <w:r w:rsidR="00020952">
        <w:rPr>
          <w:rFonts w:ascii="Times New Roman" w:hAnsi="Times New Roman" w:cs="Times New Roman"/>
          <w:lang w:val="es-CL"/>
        </w:rPr>
        <w:t xml:space="preserve"> la</w:t>
      </w:r>
      <w:r w:rsidRPr="00607E3F">
        <w:rPr>
          <w:rFonts w:ascii="Times New Roman" w:hAnsi="Times New Roman" w:cs="Times New Roman"/>
          <w:lang w:val="es-CL"/>
        </w:rPr>
        <w:t xml:space="preserve"> política monetaria. </w:t>
      </w:r>
    </w:p>
    <w:p w14:paraId="6019C24A" w14:textId="65A73789" w:rsidR="00201F59" w:rsidRPr="00F3020E" w:rsidRDefault="00201F59" w:rsidP="00201F59">
      <w:pPr>
        <w:jc w:val="both"/>
        <w:rPr>
          <w:rFonts w:ascii="Times New Roman" w:hAnsi="Times New Roman" w:cs="Times New Roman"/>
          <w:lang w:val="es-CL"/>
        </w:rPr>
      </w:pPr>
      <w:r w:rsidRPr="00F3020E">
        <w:rPr>
          <w:rFonts w:ascii="Times New Roman" w:hAnsi="Times New Roman" w:cs="Times New Roman"/>
          <w:lang w:val="es-CL"/>
        </w:rPr>
        <w:lastRenderedPageBreak/>
        <w:t>A</w:t>
      </w:r>
      <w:r w:rsidRPr="009A7475">
        <w:rPr>
          <w:rFonts w:ascii="Times New Roman" w:hAnsi="Times New Roman" w:cs="Times New Roman"/>
          <w:lang w:val="es-CL"/>
        </w:rPr>
        <w:t xml:space="preserve">ún no </w:t>
      </w:r>
      <w:r w:rsidRPr="00F3020E">
        <w:rPr>
          <w:rFonts w:ascii="Times New Roman" w:hAnsi="Times New Roman" w:cs="Times New Roman"/>
          <w:lang w:val="es-CL"/>
        </w:rPr>
        <w:t>es posible dimensionar cuánto de este shock de oferta se traspasará a precios porque dependerá de cómo se va desarrollando y la reacción de otras fuerzas de adaptación de oferta y demanda que puedan surgir. Guardando las</w:t>
      </w:r>
      <w:r w:rsidRPr="009A7475">
        <w:rPr>
          <w:rFonts w:ascii="Times New Roman" w:hAnsi="Times New Roman" w:cs="Times New Roman"/>
          <w:lang w:val="es-CL"/>
        </w:rPr>
        <w:t xml:space="preserve"> </w:t>
      </w:r>
      <w:r w:rsidRPr="00F3020E">
        <w:rPr>
          <w:rFonts w:ascii="Times New Roman" w:hAnsi="Times New Roman" w:cs="Times New Roman"/>
          <w:lang w:val="es-CL"/>
        </w:rPr>
        <w:t>diferencias con el shock de oferta que surgió de la</w:t>
      </w:r>
      <w:r w:rsidRPr="009A7475">
        <w:rPr>
          <w:rFonts w:ascii="Times New Roman" w:hAnsi="Times New Roman" w:cs="Times New Roman"/>
          <w:lang w:val="es-CL"/>
        </w:rPr>
        <w:t xml:space="preserve"> invasión de Rusia a Ucrania en 2022</w:t>
      </w:r>
      <w:r w:rsidRPr="00F3020E">
        <w:rPr>
          <w:rFonts w:ascii="Times New Roman" w:hAnsi="Times New Roman" w:cs="Times New Roman"/>
          <w:lang w:val="es-CL"/>
        </w:rPr>
        <w:t>, el espiral inflacionario posterior</w:t>
      </w:r>
      <w:r w:rsidRPr="009A7475">
        <w:rPr>
          <w:rFonts w:ascii="Times New Roman" w:hAnsi="Times New Roman" w:cs="Times New Roman"/>
          <w:lang w:val="es-CL"/>
        </w:rPr>
        <w:t xml:space="preserve"> refuerza la necesidad de cautela frente al riesgo de efectos de segunda vuelta y desanclaje de expectativas. A diferencia de ese </w:t>
      </w:r>
      <w:r w:rsidR="00450B36">
        <w:rPr>
          <w:rFonts w:ascii="Times New Roman" w:hAnsi="Times New Roman" w:cs="Times New Roman"/>
          <w:lang w:val="es-CL"/>
        </w:rPr>
        <w:t>entonces</w:t>
      </w:r>
      <w:r w:rsidRPr="009A7475">
        <w:rPr>
          <w:rFonts w:ascii="Times New Roman" w:hAnsi="Times New Roman" w:cs="Times New Roman"/>
          <w:lang w:val="es-CL"/>
        </w:rPr>
        <w:t xml:space="preserve">, el contexto actual no cuenta con el fuerte impulso de la demanda agregada derivado de estímulos fiscales masivos y la reapertura postpandemia. </w:t>
      </w:r>
      <w:r w:rsidR="001B3E46">
        <w:rPr>
          <w:rFonts w:ascii="Times New Roman" w:hAnsi="Times New Roman" w:cs="Times New Roman"/>
          <w:lang w:val="es-CL"/>
        </w:rPr>
        <w:t>Sin</w:t>
      </w:r>
      <w:r w:rsidRPr="009A7475">
        <w:rPr>
          <w:rFonts w:ascii="Times New Roman" w:hAnsi="Times New Roman" w:cs="Times New Roman"/>
          <w:lang w:val="es-CL"/>
        </w:rPr>
        <w:t xml:space="preserve"> embargo, la economía global tampoco enfrenta este shock desde niveles de tasas de interés tan bajos como entonces, lo que reduce el margen de maniobra </w:t>
      </w:r>
      <w:r>
        <w:rPr>
          <w:rFonts w:ascii="Times New Roman" w:hAnsi="Times New Roman" w:cs="Times New Roman"/>
          <w:lang w:val="es-CL"/>
        </w:rPr>
        <w:t xml:space="preserve">monetaria </w:t>
      </w:r>
      <w:r w:rsidRPr="009A7475">
        <w:rPr>
          <w:rFonts w:ascii="Times New Roman" w:hAnsi="Times New Roman" w:cs="Times New Roman"/>
          <w:lang w:val="es-CL"/>
        </w:rPr>
        <w:t>frente a un escenario más persistente y severo en los mercados energéticos y las cadenas globales.</w:t>
      </w:r>
    </w:p>
    <w:p w14:paraId="0AECDB45" w14:textId="0635C488" w:rsidR="00F52C7C" w:rsidRPr="00F52C7C" w:rsidRDefault="00F52C7C" w:rsidP="00F52C7C">
      <w:pPr>
        <w:jc w:val="both"/>
        <w:rPr>
          <w:rFonts w:ascii="Times New Roman" w:hAnsi="Times New Roman" w:cs="Times New Roman"/>
          <w:lang w:val="es-CL"/>
        </w:rPr>
      </w:pPr>
      <w:r w:rsidRPr="00F52C7C">
        <w:rPr>
          <w:rFonts w:ascii="Times New Roman" w:hAnsi="Times New Roman" w:cs="Times New Roman"/>
          <w:lang w:val="es-CL"/>
        </w:rPr>
        <w:t xml:space="preserve">En Chile, el año 2025 cerró con un escenario de estabilidad macroeconómica, con un crecimiento del PIB de 2,5%, impulsado principalmente por la inversión y por mejores términos de intercambio, asociados </w:t>
      </w:r>
      <w:r w:rsidR="003F0527">
        <w:rPr>
          <w:rFonts w:ascii="Times New Roman" w:hAnsi="Times New Roman" w:cs="Times New Roman"/>
          <w:lang w:val="es-CL"/>
        </w:rPr>
        <w:t xml:space="preserve">tanto </w:t>
      </w:r>
      <w:r w:rsidRPr="00F52C7C">
        <w:rPr>
          <w:rFonts w:ascii="Times New Roman" w:hAnsi="Times New Roman" w:cs="Times New Roman"/>
          <w:lang w:val="es-CL"/>
        </w:rPr>
        <w:t xml:space="preserve">a altos precios del cobre y a menores precios de los combustibles, trayectorias que se mantuvieron hasta fines de febrero. Sin embargo, los datos más recientes de actividad, incluyendo las cuentas nacionales del cuarto trimestre y </w:t>
      </w:r>
      <w:r w:rsidR="006F2258">
        <w:rPr>
          <w:rFonts w:ascii="Times New Roman" w:hAnsi="Times New Roman" w:cs="Times New Roman"/>
          <w:lang w:val="es-CL"/>
        </w:rPr>
        <w:t>la variación negativa d</w:t>
      </w:r>
      <w:r w:rsidRPr="00F52C7C">
        <w:rPr>
          <w:rFonts w:ascii="Times New Roman" w:hAnsi="Times New Roman" w:cs="Times New Roman"/>
          <w:lang w:val="es-CL"/>
        </w:rPr>
        <w:t>el Imacec de enero</w:t>
      </w:r>
      <w:r w:rsidR="006F2258">
        <w:rPr>
          <w:rFonts w:ascii="Times New Roman" w:hAnsi="Times New Roman" w:cs="Times New Roman"/>
          <w:lang w:val="es-CL"/>
        </w:rPr>
        <w:t xml:space="preserve"> (-0,5%)</w:t>
      </w:r>
      <w:r w:rsidRPr="00F52C7C">
        <w:rPr>
          <w:rFonts w:ascii="Times New Roman" w:hAnsi="Times New Roman" w:cs="Times New Roman"/>
          <w:lang w:val="es-CL"/>
        </w:rPr>
        <w:t xml:space="preserve">, </w:t>
      </w:r>
      <w:r w:rsidR="0043579E">
        <w:rPr>
          <w:rFonts w:ascii="Times New Roman" w:hAnsi="Times New Roman" w:cs="Times New Roman"/>
          <w:lang w:val="es-CL"/>
        </w:rPr>
        <w:t xml:space="preserve">muestran que la </w:t>
      </w:r>
      <w:r w:rsidR="006F2258">
        <w:rPr>
          <w:rFonts w:ascii="Times New Roman" w:hAnsi="Times New Roman" w:cs="Times New Roman"/>
          <w:lang w:val="es-CL"/>
        </w:rPr>
        <w:t xml:space="preserve">expansión de la </w:t>
      </w:r>
      <w:r w:rsidR="0043579E">
        <w:rPr>
          <w:rFonts w:ascii="Times New Roman" w:hAnsi="Times New Roman" w:cs="Times New Roman"/>
          <w:lang w:val="es-CL"/>
        </w:rPr>
        <w:t>a</w:t>
      </w:r>
      <w:r w:rsidR="00CD006B">
        <w:rPr>
          <w:rFonts w:ascii="Times New Roman" w:hAnsi="Times New Roman" w:cs="Times New Roman"/>
          <w:lang w:val="es-CL"/>
        </w:rPr>
        <w:t xml:space="preserve">ctividad </w:t>
      </w:r>
      <w:r w:rsidR="006F2258">
        <w:rPr>
          <w:rFonts w:ascii="Times New Roman" w:hAnsi="Times New Roman" w:cs="Times New Roman"/>
          <w:lang w:val="es-CL"/>
        </w:rPr>
        <w:t xml:space="preserve">económica </w:t>
      </w:r>
      <w:r w:rsidR="00CD006B">
        <w:rPr>
          <w:rFonts w:ascii="Times New Roman" w:hAnsi="Times New Roman" w:cs="Times New Roman"/>
          <w:lang w:val="es-CL"/>
        </w:rPr>
        <w:t xml:space="preserve">venía desacelerándose </w:t>
      </w:r>
      <w:r w:rsidR="006F2258">
        <w:rPr>
          <w:rFonts w:ascii="Times New Roman" w:hAnsi="Times New Roman" w:cs="Times New Roman"/>
          <w:lang w:val="es-CL"/>
        </w:rPr>
        <w:t xml:space="preserve">en forma pronunciada </w:t>
      </w:r>
      <w:r w:rsidR="00CD006B">
        <w:rPr>
          <w:rFonts w:ascii="Times New Roman" w:hAnsi="Times New Roman" w:cs="Times New Roman"/>
          <w:lang w:val="es-CL"/>
        </w:rPr>
        <w:t>ya desde</w:t>
      </w:r>
      <w:r w:rsidR="006F2258">
        <w:rPr>
          <w:rFonts w:ascii="Times New Roman" w:hAnsi="Times New Roman" w:cs="Times New Roman"/>
          <w:lang w:val="es-CL"/>
        </w:rPr>
        <w:t xml:space="preserve"> septiembre de 2025</w:t>
      </w:r>
      <w:r w:rsidR="00CD006B">
        <w:rPr>
          <w:rFonts w:ascii="Times New Roman" w:hAnsi="Times New Roman" w:cs="Times New Roman"/>
          <w:lang w:val="es-CL"/>
        </w:rPr>
        <w:t xml:space="preserve">, algo que también se veía en </w:t>
      </w:r>
      <w:r w:rsidR="00B82237">
        <w:rPr>
          <w:rFonts w:ascii="Times New Roman" w:hAnsi="Times New Roman" w:cs="Times New Roman"/>
          <w:lang w:val="es-CL"/>
        </w:rPr>
        <w:t>la debilidad en la creación de empleo</w:t>
      </w:r>
      <w:r w:rsidR="00BB18A7">
        <w:rPr>
          <w:rFonts w:ascii="Times New Roman" w:hAnsi="Times New Roman" w:cs="Times New Roman"/>
          <w:lang w:val="es-CL"/>
        </w:rPr>
        <w:t xml:space="preserve"> y los salarios</w:t>
      </w:r>
      <w:r w:rsidR="00B82237">
        <w:rPr>
          <w:rFonts w:ascii="Times New Roman" w:hAnsi="Times New Roman" w:cs="Times New Roman"/>
          <w:lang w:val="es-CL"/>
        </w:rPr>
        <w:t xml:space="preserve">. </w:t>
      </w:r>
    </w:p>
    <w:p w14:paraId="227AD37A" w14:textId="6C00C8E2" w:rsidR="00280B02" w:rsidRDefault="00F52C7C" w:rsidP="00280B02">
      <w:pPr>
        <w:jc w:val="both"/>
        <w:rPr>
          <w:rFonts w:ascii="Times New Roman" w:hAnsi="Times New Roman" w:cs="Times New Roman"/>
          <w:lang w:val="es-CL"/>
        </w:rPr>
      </w:pPr>
      <w:r w:rsidRPr="00F52C7C">
        <w:rPr>
          <w:rFonts w:ascii="Times New Roman" w:hAnsi="Times New Roman" w:cs="Times New Roman"/>
          <w:lang w:val="es-CL"/>
        </w:rPr>
        <w:t>El proceso desinflacionario continuó avanzando durante los primeros meses del año, incluso a un ritmo mayor al esperado, con una variación mensual cercana a cero en febrero y una reducción de la inflación anual desde 2,8% en enero a 2,4%</w:t>
      </w:r>
      <w:r w:rsidR="006F2258">
        <w:rPr>
          <w:rFonts w:ascii="Times New Roman" w:hAnsi="Times New Roman" w:cs="Times New Roman"/>
          <w:lang w:val="es-CL"/>
        </w:rPr>
        <w:t xml:space="preserve"> en febrero</w:t>
      </w:r>
      <w:r w:rsidR="00A42B8B">
        <w:rPr>
          <w:rFonts w:ascii="Times New Roman" w:hAnsi="Times New Roman" w:cs="Times New Roman"/>
          <w:lang w:val="es-CL"/>
        </w:rPr>
        <w:t xml:space="preserve"> pasado</w:t>
      </w:r>
      <w:r w:rsidRPr="00F52C7C">
        <w:rPr>
          <w:rFonts w:ascii="Times New Roman" w:hAnsi="Times New Roman" w:cs="Times New Roman"/>
          <w:lang w:val="es-CL"/>
        </w:rPr>
        <w:t>, su menor nivel en más de cinco años. La apreciación cambiaria observada hasta fines de febrero contribuyó de manera significativa a este proceso, con un tipo de cambio que se había reducido desde niveles cercanos a $1.020 a comienzos de</w:t>
      </w:r>
      <w:r w:rsidR="006F2258">
        <w:rPr>
          <w:rFonts w:ascii="Times New Roman" w:hAnsi="Times New Roman" w:cs="Times New Roman"/>
          <w:lang w:val="es-CL"/>
        </w:rPr>
        <w:t>l</w:t>
      </w:r>
      <w:r w:rsidRPr="00F52C7C">
        <w:rPr>
          <w:rFonts w:ascii="Times New Roman" w:hAnsi="Times New Roman" w:cs="Times New Roman"/>
          <w:lang w:val="es-CL"/>
        </w:rPr>
        <w:t xml:space="preserve"> año </w:t>
      </w:r>
      <w:r w:rsidR="006F2258">
        <w:rPr>
          <w:rFonts w:ascii="Times New Roman" w:hAnsi="Times New Roman" w:cs="Times New Roman"/>
          <w:lang w:val="es-CL"/>
        </w:rPr>
        <w:t xml:space="preserve">2025 </w:t>
      </w:r>
      <w:r w:rsidRPr="00F52C7C">
        <w:rPr>
          <w:rFonts w:ascii="Times New Roman" w:hAnsi="Times New Roman" w:cs="Times New Roman"/>
          <w:lang w:val="es-CL"/>
        </w:rPr>
        <w:t>hasta valores en torno a $85</w:t>
      </w:r>
      <w:r w:rsidR="006F2258">
        <w:rPr>
          <w:rFonts w:ascii="Times New Roman" w:hAnsi="Times New Roman" w:cs="Times New Roman"/>
          <w:lang w:val="es-CL"/>
        </w:rPr>
        <w:t>8</w:t>
      </w:r>
      <w:r w:rsidRPr="00F52C7C">
        <w:rPr>
          <w:rFonts w:ascii="Times New Roman" w:hAnsi="Times New Roman" w:cs="Times New Roman"/>
          <w:lang w:val="es-CL"/>
        </w:rPr>
        <w:t xml:space="preserve">, antes del inicio del conflicto. </w:t>
      </w:r>
      <w:r w:rsidR="0071737C" w:rsidRPr="00E915A1">
        <w:rPr>
          <w:rFonts w:ascii="Times New Roman" w:hAnsi="Times New Roman" w:cs="Times New Roman"/>
          <w:lang w:val="es-CL"/>
        </w:rPr>
        <w:t xml:space="preserve">También </w:t>
      </w:r>
      <w:r w:rsidR="003F7A29" w:rsidRPr="00E915A1">
        <w:rPr>
          <w:rFonts w:ascii="Times New Roman" w:hAnsi="Times New Roman" w:cs="Times New Roman"/>
          <w:lang w:val="es-CL"/>
        </w:rPr>
        <w:t>i</w:t>
      </w:r>
      <w:r w:rsidR="00FB0DD8" w:rsidRPr="00E915A1">
        <w:rPr>
          <w:rFonts w:ascii="Times New Roman" w:hAnsi="Times New Roman" w:cs="Times New Roman"/>
          <w:lang w:val="es-CL"/>
        </w:rPr>
        <w:t>ncidió</w:t>
      </w:r>
      <w:r w:rsidR="003F7A29" w:rsidRPr="00E915A1">
        <w:rPr>
          <w:rFonts w:ascii="Times New Roman" w:hAnsi="Times New Roman" w:cs="Times New Roman"/>
          <w:lang w:val="es-CL"/>
        </w:rPr>
        <w:t xml:space="preserve"> la baja en precios de la energía, que rodeaban en promedio los 65USD</w:t>
      </w:r>
      <w:r w:rsidR="003F7A29">
        <w:rPr>
          <w:rFonts w:ascii="Times New Roman" w:hAnsi="Times New Roman" w:cs="Times New Roman"/>
          <w:lang w:val="es-CL"/>
        </w:rPr>
        <w:t xml:space="preserve"> por barril</w:t>
      </w:r>
      <w:r w:rsidR="00AC72F7">
        <w:rPr>
          <w:rFonts w:ascii="Times New Roman" w:hAnsi="Times New Roman" w:cs="Times New Roman"/>
          <w:lang w:val="es-CL"/>
        </w:rPr>
        <w:t xml:space="preserve"> el último semestre</w:t>
      </w:r>
      <w:r w:rsidR="00D40484">
        <w:rPr>
          <w:rFonts w:ascii="Times New Roman" w:hAnsi="Times New Roman" w:cs="Times New Roman"/>
          <w:lang w:val="es-CL"/>
        </w:rPr>
        <w:t xml:space="preserve">. </w:t>
      </w:r>
    </w:p>
    <w:p w14:paraId="7A0E4E33" w14:textId="4D3664E1" w:rsidR="00280B02" w:rsidRPr="00607E3F" w:rsidRDefault="00280B02" w:rsidP="000937EE">
      <w:pPr>
        <w:jc w:val="both"/>
        <w:rPr>
          <w:rFonts w:ascii="Times New Roman" w:hAnsi="Times New Roman" w:cs="Times New Roman"/>
          <w:lang w:val="es-CL"/>
        </w:rPr>
      </w:pPr>
      <w:r>
        <w:rPr>
          <w:rFonts w:ascii="Times New Roman" w:hAnsi="Times New Roman" w:cs="Times New Roman"/>
          <w:lang w:val="es-CL"/>
        </w:rPr>
        <w:t xml:space="preserve">El </w:t>
      </w:r>
      <w:r w:rsidRPr="00280B02">
        <w:rPr>
          <w:rFonts w:ascii="Times New Roman" w:hAnsi="Times New Roman" w:cs="Times New Roman"/>
          <w:lang w:val="es-CL"/>
        </w:rPr>
        <w:t xml:space="preserve">shock externo </w:t>
      </w:r>
      <w:r w:rsidR="008D2B0E" w:rsidRPr="00721344">
        <w:rPr>
          <w:rFonts w:ascii="Times New Roman" w:hAnsi="Times New Roman" w:cs="Times New Roman"/>
          <w:lang w:val="es-CL"/>
        </w:rPr>
        <w:t xml:space="preserve">se ha reflejado en </w:t>
      </w:r>
      <w:r w:rsidR="00C77912">
        <w:rPr>
          <w:rFonts w:ascii="Times New Roman" w:hAnsi="Times New Roman" w:cs="Times New Roman"/>
          <w:lang w:val="es-CL"/>
        </w:rPr>
        <w:t xml:space="preserve">altísima volatilidad en mercados </w:t>
      </w:r>
      <w:r w:rsidR="008D2B0E" w:rsidRPr="00721344">
        <w:rPr>
          <w:rFonts w:ascii="Times New Roman" w:hAnsi="Times New Roman" w:cs="Times New Roman"/>
          <w:lang w:val="es-CL"/>
        </w:rPr>
        <w:t>y endurecimiento de las condiciones financieras, lo que añade riesgos tanto para la inflación de corto plazo como para la dinámica de la actividad.</w:t>
      </w:r>
      <w:r w:rsidR="008D2B0E">
        <w:rPr>
          <w:rFonts w:ascii="Times New Roman" w:hAnsi="Times New Roman" w:cs="Times New Roman"/>
          <w:lang w:val="es-CL"/>
        </w:rPr>
        <w:t xml:space="preserve"> </w:t>
      </w:r>
      <w:r w:rsidR="00C77912">
        <w:rPr>
          <w:rFonts w:ascii="Times New Roman" w:hAnsi="Times New Roman" w:cs="Times New Roman"/>
          <w:lang w:val="es-CL"/>
        </w:rPr>
        <w:t>El índice de volatilidad VIX superó 30 puntos, niveles similares a los de la guerra en Ucrania-Rusia, aunque todavía por debajo de los niveles alcanzados en la pandemia y en abril de 2025 con la instalación de las tarifas recíprocas de EEUU.</w:t>
      </w:r>
      <w:r w:rsidR="00C77912" w:rsidRPr="00721344">
        <w:rPr>
          <w:rFonts w:ascii="Times New Roman" w:hAnsi="Times New Roman" w:cs="Times New Roman"/>
          <w:lang w:val="es-CL"/>
        </w:rPr>
        <w:t xml:space="preserve"> </w:t>
      </w:r>
      <w:r w:rsidR="008D2B0E">
        <w:rPr>
          <w:rFonts w:ascii="Times New Roman" w:hAnsi="Times New Roman" w:cs="Times New Roman"/>
          <w:lang w:val="es-CL"/>
        </w:rPr>
        <w:t>El</w:t>
      </w:r>
      <w:r w:rsidR="0022397C">
        <w:rPr>
          <w:rFonts w:ascii="Times New Roman" w:hAnsi="Times New Roman" w:cs="Times New Roman"/>
          <w:lang w:val="es-CL"/>
        </w:rPr>
        <w:t xml:space="preserve"> precio del petróleo </w:t>
      </w:r>
      <w:r w:rsidR="00C63309">
        <w:rPr>
          <w:rFonts w:ascii="Times New Roman" w:hAnsi="Times New Roman" w:cs="Times New Roman"/>
          <w:lang w:val="es-CL"/>
        </w:rPr>
        <w:t xml:space="preserve">se ubica </w:t>
      </w:r>
      <w:r w:rsidR="0022397C">
        <w:rPr>
          <w:rFonts w:ascii="Times New Roman" w:hAnsi="Times New Roman" w:cs="Times New Roman"/>
          <w:lang w:val="es-CL"/>
        </w:rPr>
        <w:t>casi 60%</w:t>
      </w:r>
      <w:r w:rsidR="008D2B0E">
        <w:rPr>
          <w:rFonts w:ascii="Times New Roman" w:hAnsi="Times New Roman" w:cs="Times New Roman"/>
          <w:lang w:val="es-CL"/>
        </w:rPr>
        <w:t xml:space="preserve"> más alto, con el</w:t>
      </w:r>
      <w:r w:rsidR="0022397C">
        <w:rPr>
          <w:rFonts w:ascii="Times New Roman" w:hAnsi="Times New Roman" w:cs="Times New Roman"/>
          <w:lang w:val="es-CL"/>
        </w:rPr>
        <w:t xml:space="preserve"> cobre </w:t>
      </w:r>
      <w:r w:rsidR="008D2B0E">
        <w:rPr>
          <w:rFonts w:ascii="Times New Roman" w:hAnsi="Times New Roman" w:cs="Times New Roman"/>
          <w:lang w:val="es-CL"/>
        </w:rPr>
        <w:t xml:space="preserve">todavía </w:t>
      </w:r>
      <w:r w:rsidR="0022397C">
        <w:rPr>
          <w:rFonts w:ascii="Times New Roman" w:hAnsi="Times New Roman" w:cs="Times New Roman"/>
          <w:lang w:val="es-CL"/>
        </w:rPr>
        <w:t xml:space="preserve">alto, pero 11% menor al inicio del mes. </w:t>
      </w:r>
      <w:r w:rsidR="0022397C" w:rsidRPr="0022397C">
        <w:rPr>
          <w:rFonts w:ascii="Times New Roman" w:hAnsi="Times New Roman" w:cs="Times New Roman"/>
          <w:lang w:val="es-CL"/>
        </w:rPr>
        <w:t xml:space="preserve">El </w:t>
      </w:r>
      <w:r w:rsidR="0022397C">
        <w:rPr>
          <w:rFonts w:ascii="Times New Roman" w:hAnsi="Times New Roman" w:cs="Times New Roman"/>
          <w:lang w:val="es-CL"/>
        </w:rPr>
        <w:t>p</w:t>
      </w:r>
      <w:r w:rsidR="0022397C" w:rsidRPr="0022397C">
        <w:rPr>
          <w:rFonts w:ascii="Times New Roman" w:hAnsi="Times New Roman" w:cs="Times New Roman"/>
          <w:lang w:val="es-CL"/>
        </w:rPr>
        <w:t xml:space="preserve">eso se ha debilitado un </w:t>
      </w:r>
      <w:r w:rsidR="0022397C">
        <w:rPr>
          <w:rFonts w:ascii="Times New Roman" w:hAnsi="Times New Roman" w:cs="Times New Roman"/>
          <w:lang w:val="es-CL"/>
        </w:rPr>
        <w:t>7</w:t>
      </w:r>
      <w:r w:rsidR="0022397C" w:rsidRPr="0022397C">
        <w:rPr>
          <w:rFonts w:ascii="Times New Roman" w:hAnsi="Times New Roman" w:cs="Times New Roman"/>
          <w:lang w:val="es-CL"/>
        </w:rPr>
        <w:t>%</w:t>
      </w:r>
      <w:r w:rsidR="0022397C">
        <w:rPr>
          <w:rFonts w:ascii="Times New Roman" w:hAnsi="Times New Roman" w:cs="Times New Roman"/>
          <w:lang w:val="es-CL"/>
        </w:rPr>
        <w:t>, retrotrayendo casi toda la ganancia del último año</w:t>
      </w:r>
      <w:r w:rsidR="008D2B0E">
        <w:rPr>
          <w:rFonts w:ascii="Times New Roman" w:hAnsi="Times New Roman" w:cs="Times New Roman"/>
          <w:lang w:val="es-CL"/>
        </w:rPr>
        <w:t xml:space="preserve">, </w:t>
      </w:r>
      <w:r w:rsidR="00C63309">
        <w:rPr>
          <w:rFonts w:ascii="Times New Roman" w:hAnsi="Times New Roman" w:cs="Times New Roman"/>
          <w:lang w:val="es-CL"/>
        </w:rPr>
        <w:t>golpeando</w:t>
      </w:r>
      <w:r w:rsidR="008D2B0E">
        <w:rPr>
          <w:rFonts w:ascii="Times New Roman" w:hAnsi="Times New Roman" w:cs="Times New Roman"/>
          <w:lang w:val="es-CL"/>
        </w:rPr>
        <w:t xml:space="preserve"> doblemente el precio de la energía en Chile.</w:t>
      </w:r>
      <w:r w:rsidR="00B34C84">
        <w:rPr>
          <w:rFonts w:ascii="Times New Roman" w:hAnsi="Times New Roman" w:cs="Times New Roman"/>
          <w:lang w:val="es-CL"/>
        </w:rPr>
        <w:t xml:space="preserve"> </w:t>
      </w:r>
      <w:r w:rsidR="00C63309">
        <w:rPr>
          <w:rFonts w:ascii="Times New Roman" w:hAnsi="Times New Roman" w:cs="Times New Roman"/>
          <w:lang w:val="es-CL"/>
        </w:rPr>
        <w:t>El rendimiento del USTreasury alcanzó 4,4%</w:t>
      </w:r>
      <w:r w:rsidR="00C77912">
        <w:rPr>
          <w:rFonts w:ascii="Times New Roman" w:hAnsi="Times New Roman" w:cs="Times New Roman"/>
          <w:lang w:val="es-CL"/>
        </w:rPr>
        <w:t>, aumentando 0,36 puntos en el último mes y el del Bono a 10 años de Chile alcanzó 5,66%, 0,38 puntos adicionales en el último mes. Ambos alcanzando sus niveles más altos en 8 meses.</w:t>
      </w:r>
    </w:p>
    <w:p w14:paraId="69FF6FA5" w14:textId="476FB832" w:rsidR="006335AF" w:rsidRDefault="00966EE0" w:rsidP="000F311F">
      <w:pPr>
        <w:jc w:val="both"/>
        <w:rPr>
          <w:rFonts w:ascii="Times New Roman" w:hAnsi="Times New Roman" w:cs="Times New Roman"/>
          <w:lang w:val="es-CL"/>
        </w:rPr>
      </w:pPr>
      <w:r w:rsidRPr="00607E3F">
        <w:rPr>
          <w:rFonts w:ascii="Times New Roman" w:hAnsi="Times New Roman" w:cs="Times New Roman"/>
          <w:lang w:val="es-CL"/>
        </w:rPr>
        <w:t>L</w:t>
      </w:r>
      <w:r w:rsidR="00A42B8B" w:rsidRPr="00607E3F">
        <w:rPr>
          <w:rFonts w:ascii="Times New Roman" w:hAnsi="Times New Roman" w:cs="Times New Roman"/>
          <w:lang w:val="es-CL"/>
        </w:rPr>
        <w:t xml:space="preserve">as expectativas </w:t>
      </w:r>
      <w:r w:rsidR="002F78E3" w:rsidRPr="00607E3F">
        <w:rPr>
          <w:rFonts w:ascii="Times New Roman" w:hAnsi="Times New Roman" w:cs="Times New Roman"/>
          <w:lang w:val="es-CL"/>
        </w:rPr>
        <w:t>recogen</w:t>
      </w:r>
      <w:r w:rsidR="00A42B8B" w:rsidRPr="00607E3F">
        <w:rPr>
          <w:rFonts w:ascii="Times New Roman" w:hAnsi="Times New Roman" w:cs="Times New Roman"/>
          <w:lang w:val="es-CL"/>
        </w:rPr>
        <w:t xml:space="preserve"> un deterioro relevante en el corto plazo</w:t>
      </w:r>
      <w:r w:rsidR="006B5503">
        <w:rPr>
          <w:rFonts w:ascii="Times New Roman" w:hAnsi="Times New Roman" w:cs="Times New Roman"/>
          <w:lang w:val="es-CL"/>
        </w:rPr>
        <w:t xml:space="preserve"> para la inflación esperada</w:t>
      </w:r>
      <w:r w:rsidR="00A42B8B" w:rsidRPr="00607E3F">
        <w:rPr>
          <w:rFonts w:ascii="Times New Roman" w:hAnsi="Times New Roman" w:cs="Times New Roman"/>
          <w:lang w:val="es-CL"/>
        </w:rPr>
        <w:t>. La Encuesta de Operadores Financieros (EOF) más reciente evidencia un aumento significativo de la inflación esperada a 12 meses, desde 2,9% a 3,5%, y un leve incremento adicional en el horizonte de 24 meses</w:t>
      </w:r>
      <w:r w:rsidR="002F78E3" w:rsidRPr="00607E3F">
        <w:rPr>
          <w:rFonts w:ascii="Times New Roman" w:hAnsi="Times New Roman" w:cs="Times New Roman"/>
          <w:lang w:val="es-CL"/>
        </w:rPr>
        <w:t xml:space="preserve"> hasta 3,1%</w:t>
      </w:r>
      <w:r w:rsidR="00A42B8B" w:rsidRPr="00607E3F">
        <w:rPr>
          <w:rFonts w:ascii="Times New Roman" w:hAnsi="Times New Roman" w:cs="Times New Roman"/>
          <w:lang w:val="es-CL"/>
        </w:rPr>
        <w:t>. E</w:t>
      </w:r>
      <w:r w:rsidR="00384CE5" w:rsidRPr="00607E3F">
        <w:rPr>
          <w:rFonts w:ascii="Times New Roman" w:hAnsi="Times New Roman" w:cs="Times New Roman"/>
          <w:lang w:val="es-CL"/>
        </w:rPr>
        <w:t xml:space="preserve">n términos de incidencias, </w:t>
      </w:r>
      <w:r w:rsidR="00771E3C" w:rsidRPr="00607E3F">
        <w:rPr>
          <w:rFonts w:ascii="Times New Roman" w:hAnsi="Times New Roman" w:cs="Times New Roman"/>
          <w:lang w:val="es-CL"/>
        </w:rPr>
        <w:t xml:space="preserve">los </w:t>
      </w:r>
      <w:r w:rsidR="00A42B8B" w:rsidRPr="00607E3F">
        <w:rPr>
          <w:rFonts w:ascii="Times New Roman" w:hAnsi="Times New Roman" w:cs="Times New Roman"/>
          <w:lang w:val="es-CL"/>
        </w:rPr>
        <w:t>precios externos, a un tipo de cambio esperado más alto</w:t>
      </w:r>
      <w:r w:rsidR="00771E3C" w:rsidRPr="00607E3F">
        <w:rPr>
          <w:rFonts w:ascii="Times New Roman" w:hAnsi="Times New Roman" w:cs="Times New Roman"/>
          <w:lang w:val="es-CL"/>
        </w:rPr>
        <w:t>,</w:t>
      </w:r>
      <w:r w:rsidR="00A42B8B" w:rsidRPr="00607E3F">
        <w:rPr>
          <w:rFonts w:ascii="Times New Roman" w:hAnsi="Times New Roman" w:cs="Times New Roman"/>
          <w:lang w:val="es-CL"/>
        </w:rPr>
        <w:t xml:space="preserve"> y mayores costos internos</w:t>
      </w:r>
      <w:r w:rsidR="00771E3C" w:rsidRPr="00607E3F">
        <w:rPr>
          <w:rFonts w:ascii="Times New Roman" w:hAnsi="Times New Roman" w:cs="Times New Roman"/>
          <w:lang w:val="es-CL"/>
        </w:rPr>
        <w:t xml:space="preserve"> aumentan </w:t>
      </w:r>
      <w:r w:rsidR="001E6BC7" w:rsidRPr="00607E3F">
        <w:rPr>
          <w:rFonts w:ascii="Times New Roman" w:hAnsi="Times New Roman" w:cs="Times New Roman"/>
          <w:lang w:val="es-CL"/>
        </w:rPr>
        <w:t>su relevancia relativa</w:t>
      </w:r>
      <w:r w:rsidR="006335AF">
        <w:rPr>
          <w:rFonts w:ascii="Times New Roman" w:hAnsi="Times New Roman" w:cs="Times New Roman"/>
          <w:lang w:val="es-CL"/>
        </w:rPr>
        <w:t>.</w:t>
      </w:r>
      <w:r w:rsidR="00C77912">
        <w:rPr>
          <w:rFonts w:ascii="Times New Roman" w:hAnsi="Times New Roman" w:cs="Times New Roman"/>
          <w:lang w:val="es-CL"/>
        </w:rPr>
        <w:t xml:space="preserve"> Las</w:t>
      </w:r>
      <w:r w:rsidR="00C77912" w:rsidRPr="00C77912">
        <w:rPr>
          <w:rFonts w:ascii="Times New Roman" w:hAnsi="Times New Roman" w:cs="Times New Roman"/>
          <w:lang w:val="es-CL"/>
        </w:rPr>
        <w:t xml:space="preserve"> medidas de </w:t>
      </w:r>
      <w:r w:rsidR="00C77912" w:rsidRPr="00C77912">
        <w:rPr>
          <w:rFonts w:ascii="Times New Roman" w:hAnsi="Times New Roman" w:cs="Times New Roman"/>
          <w:lang w:val="es-CL"/>
        </w:rPr>
        <w:lastRenderedPageBreak/>
        <w:t>inflación breakeven a 2 y 10 años plazo</w:t>
      </w:r>
      <w:r w:rsidR="00C77912">
        <w:rPr>
          <w:rFonts w:ascii="Times New Roman" w:hAnsi="Times New Roman" w:cs="Times New Roman"/>
          <w:lang w:val="es-CL"/>
        </w:rPr>
        <w:t xml:space="preserve"> han aumentado</w:t>
      </w:r>
      <w:r w:rsidR="00C77912" w:rsidRPr="00C77912">
        <w:rPr>
          <w:rFonts w:ascii="Times New Roman" w:hAnsi="Times New Roman" w:cs="Times New Roman"/>
          <w:lang w:val="es-CL"/>
        </w:rPr>
        <w:t xml:space="preserve"> desde niveles por debajo de 3% previo al shock a niveles actualmente de 3,5% y 3,4% respectivamente, reflejando una mezcla de mayor inflación esperada y de mayor riesgo inflación por parte del mercado</w:t>
      </w:r>
      <w:r w:rsidR="00C77912">
        <w:rPr>
          <w:rFonts w:ascii="Times New Roman" w:hAnsi="Times New Roman" w:cs="Times New Roman"/>
          <w:lang w:val="es-CL"/>
        </w:rPr>
        <w:t xml:space="preserve">. </w:t>
      </w:r>
    </w:p>
    <w:p w14:paraId="59F233B2" w14:textId="56CF06B4" w:rsidR="00280B02" w:rsidRPr="00607E3F" w:rsidRDefault="002D7114" w:rsidP="000F311F">
      <w:pPr>
        <w:jc w:val="both"/>
        <w:rPr>
          <w:rFonts w:ascii="Times New Roman" w:hAnsi="Times New Roman" w:cs="Times New Roman"/>
          <w:lang w:val="es-CL"/>
        </w:rPr>
      </w:pPr>
      <w:r w:rsidRPr="00607E3F">
        <w:rPr>
          <w:rFonts w:ascii="Times New Roman" w:hAnsi="Times New Roman" w:cs="Times New Roman"/>
          <w:lang w:val="es-CL"/>
        </w:rPr>
        <w:t>La</w:t>
      </w:r>
      <w:r w:rsidR="00A42B8B" w:rsidRPr="00607E3F">
        <w:rPr>
          <w:rFonts w:ascii="Times New Roman" w:hAnsi="Times New Roman" w:cs="Times New Roman"/>
          <w:lang w:val="es-CL"/>
        </w:rPr>
        <w:t xml:space="preserve"> confianza de empresas y consumidores han mejora</w:t>
      </w:r>
      <w:r w:rsidR="00FE067B" w:rsidRPr="00607E3F">
        <w:rPr>
          <w:rFonts w:ascii="Times New Roman" w:hAnsi="Times New Roman" w:cs="Times New Roman"/>
          <w:lang w:val="es-CL"/>
        </w:rPr>
        <w:t>do</w:t>
      </w:r>
      <w:r w:rsidR="00A42B8B" w:rsidRPr="00607E3F">
        <w:rPr>
          <w:rFonts w:ascii="Times New Roman" w:hAnsi="Times New Roman" w:cs="Times New Roman"/>
          <w:lang w:val="es-CL"/>
        </w:rPr>
        <w:t xml:space="preserve"> </w:t>
      </w:r>
      <w:r w:rsidRPr="00607E3F">
        <w:rPr>
          <w:rFonts w:ascii="Times New Roman" w:hAnsi="Times New Roman" w:cs="Times New Roman"/>
          <w:lang w:val="es-CL"/>
        </w:rPr>
        <w:t>significativamente</w:t>
      </w:r>
      <w:r w:rsidR="00A85C83" w:rsidRPr="00607E3F">
        <w:rPr>
          <w:rFonts w:ascii="Times New Roman" w:hAnsi="Times New Roman" w:cs="Times New Roman"/>
          <w:lang w:val="es-CL"/>
        </w:rPr>
        <w:t>,</w:t>
      </w:r>
      <w:r w:rsidRPr="00607E3F">
        <w:rPr>
          <w:rFonts w:ascii="Times New Roman" w:hAnsi="Times New Roman" w:cs="Times New Roman"/>
          <w:lang w:val="es-CL"/>
        </w:rPr>
        <w:t xml:space="preserve"> </w:t>
      </w:r>
      <w:r w:rsidR="0062051E" w:rsidRPr="00607E3F">
        <w:rPr>
          <w:rFonts w:ascii="Times New Roman" w:hAnsi="Times New Roman" w:cs="Times New Roman"/>
          <w:lang w:val="es-CL"/>
        </w:rPr>
        <w:t>incluso más allá de lo observado en otros ciclos de cambio político</w:t>
      </w:r>
      <w:r w:rsidR="00A85C83" w:rsidRPr="00607E3F">
        <w:rPr>
          <w:rFonts w:ascii="Times New Roman" w:hAnsi="Times New Roman" w:cs="Times New Roman"/>
          <w:lang w:val="es-CL"/>
        </w:rPr>
        <w:t xml:space="preserve">, lo que </w:t>
      </w:r>
      <w:r w:rsidR="00B2010E" w:rsidRPr="00607E3F">
        <w:rPr>
          <w:rFonts w:ascii="Times New Roman" w:hAnsi="Times New Roman" w:cs="Times New Roman"/>
          <w:lang w:val="es-CL"/>
        </w:rPr>
        <w:t>le podría dar soporte a la demanda agregada</w:t>
      </w:r>
      <w:r w:rsidR="00832154" w:rsidRPr="00607E3F">
        <w:rPr>
          <w:rFonts w:ascii="Times New Roman" w:hAnsi="Times New Roman" w:cs="Times New Roman"/>
          <w:lang w:val="es-CL"/>
        </w:rPr>
        <w:t xml:space="preserve">, mientras </w:t>
      </w:r>
      <w:r w:rsidR="00951F90" w:rsidRPr="00607E3F">
        <w:rPr>
          <w:rFonts w:ascii="Times New Roman" w:hAnsi="Times New Roman" w:cs="Times New Roman"/>
          <w:lang w:val="es-CL"/>
        </w:rPr>
        <w:t xml:space="preserve">la política </w:t>
      </w:r>
      <w:r w:rsidR="00A42B8B" w:rsidRPr="00607E3F">
        <w:rPr>
          <w:rFonts w:ascii="Times New Roman" w:hAnsi="Times New Roman" w:cs="Times New Roman"/>
          <w:lang w:val="es-CL"/>
        </w:rPr>
        <w:t>fiscal más contractiva</w:t>
      </w:r>
      <w:r w:rsidR="00951F90" w:rsidRPr="00607E3F">
        <w:rPr>
          <w:rFonts w:ascii="Times New Roman" w:hAnsi="Times New Roman" w:cs="Times New Roman"/>
          <w:lang w:val="es-CL"/>
        </w:rPr>
        <w:t xml:space="preserve"> </w:t>
      </w:r>
      <w:r w:rsidR="0057047D" w:rsidRPr="00607E3F">
        <w:rPr>
          <w:rFonts w:ascii="Times New Roman" w:hAnsi="Times New Roman" w:cs="Times New Roman"/>
          <w:lang w:val="es-CL"/>
        </w:rPr>
        <w:t>e</w:t>
      </w:r>
      <w:r w:rsidR="00951F90" w:rsidRPr="00607E3F">
        <w:rPr>
          <w:rFonts w:ascii="Times New Roman" w:hAnsi="Times New Roman" w:cs="Times New Roman"/>
          <w:lang w:val="es-CL"/>
        </w:rPr>
        <w:t xml:space="preserve"> </w:t>
      </w:r>
      <w:r w:rsidR="00920864" w:rsidRPr="00607E3F">
        <w:rPr>
          <w:rFonts w:ascii="Times New Roman" w:hAnsi="Times New Roman" w:cs="Times New Roman"/>
          <w:lang w:val="es-CL"/>
        </w:rPr>
        <w:t>ingreso disponible</w:t>
      </w:r>
      <w:r w:rsidR="0057047D" w:rsidRPr="00607E3F">
        <w:rPr>
          <w:rFonts w:ascii="Times New Roman" w:hAnsi="Times New Roman" w:cs="Times New Roman"/>
          <w:lang w:val="es-CL"/>
        </w:rPr>
        <w:t xml:space="preserve"> menor</w:t>
      </w:r>
      <w:r w:rsidR="00920864" w:rsidRPr="00607E3F">
        <w:rPr>
          <w:rFonts w:ascii="Times New Roman" w:hAnsi="Times New Roman" w:cs="Times New Roman"/>
          <w:lang w:val="es-CL"/>
        </w:rPr>
        <w:t xml:space="preserve"> por los efectos de mayores precios de energía,</w:t>
      </w:r>
      <w:r w:rsidR="00A42B8B" w:rsidRPr="00607E3F">
        <w:rPr>
          <w:rFonts w:ascii="Times New Roman" w:hAnsi="Times New Roman" w:cs="Times New Roman"/>
          <w:lang w:val="es-CL"/>
        </w:rPr>
        <w:t xml:space="preserve"> podría</w:t>
      </w:r>
      <w:r w:rsidR="00920864" w:rsidRPr="00607E3F">
        <w:rPr>
          <w:rFonts w:ascii="Times New Roman" w:hAnsi="Times New Roman" w:cs="Times New Roman"/>
          <w:lang w:val="es-CL"/>
        </w:rPr>
        <w:t>n</w:t>
      </w:r>
      <w:r w:rsidR="00A42B8B" w:rsidRPr="00607E3F">
        <w:rPr>
          <w:rFonts w:ascii="Times New Roman" w:hAnsi="Times New Roman" w:cs="Times New Roman"/>
          <w:lang w:val="es-CL"/>
        </w:rPr>
        <w:t xml:space="preserve"> </w:t>
      </w:r>
      <w:r w:rsidR="00920864" w:rsidRPr="00607E3F">
        <w:rPr>
          <w:rFonts w:ascii="Times New Roman" w:hAnsi="Times New Roman" w:cs="Times New Roman"/>
          <w:lang w:val="es-CL"/>
        </w:rPr>
        <w:t>contrarrestar las</w:t>
      </w:r>
      <w:r w:rsidR="00A42B8B" w:rsidRPr="00607E3F">
        <w:rPr>
          <w:rFonts w:ascii="Times New Roman" w:hAnsi="Times New Roman" w:cs="Times New Roman"/>
          <w:lang w:val="es-CL"/>
        </w:rPr>
        <w:t xml:space="preserve"> presiones inflacionarias en el corto plazo</w:t>
      </w:r>
      <w:r w:rsidR="0057047D" w:rsidRPr="00607E3F">
        <w:rPr>
          <w:rFonts w:ascii="Times New Roman" w:hAnsi="Times New Roman" w:cs="Times New Roman"/>
          <w:lang w:val="es-CL"/>
        </w:rPr>
        <w:t>.</w:t>
      </w:r>
      <w:r w:rsidR="001E2E60" w:rsidRPr="00607E3F">
        <w:rPr>
          <w:rFonts w:ascii="Times New Roman" w:hAnsi="Times New Roman" w:cs="Times New Roman"/>
          <w:lang w:val="es-CL"/>
        </w:rPr>
        <w:t xml:space="preserve"> </w:t>
      </w:r>
    </w:p>
    <w:p w14:paraId="4D3C8A74" w14:textId="31A4D6CF" w:rsidR="00D14B19" w:rsidRDefault="00A42B8B" w:rsidP="000F311F">
      <w:pPr>
        <w:jc w:val="both"/>
        <w:rPr>
          <w:rFonts w:ascii="Times New Roman" w:hAnsi="Times New Roman" w:cs="Times New Roman"/>
          <w:lang w:val="es-CL"/>
        </w:rPr>
      </w:pPr>
      <w:r w:rsidRPr="00607E3F">
        <w:rPr>
          <w:rFonts w:ascii="Times New Roman" w:hAnsi="Times New Roman" w:cs="Times New Roman"/>
          <w:lang w:val="es-CL"/>
        </w:rPr>
        <w:t>En síntesis, el escenario central continúa siendo uno de convergencia inflacionaria</w:t>
      </w:r>
      <w:r w:rsidR="00447B71">
        <w:rPr>
          <w:rFonts w:ascii="Times New Roman" w:hAnsi="Times New Roman" w:cs="Times New Roman"/>
          <w:lang w:val="es-CL"/>
        </w:rPr>
        <w:t>, n</w:t>
      </w:r>
      <w:r w:rsidRPr="00607E3F">
        <w:rPr>
          <w:rFonts w:ascii="Times New Roman" w:hAnsi="Times New Roman" w:cs="Times New Roman"/>
          <w:lang w:val="es-CL"/>
        </w:rPr>
        <w:t>o obstante, ha aumentado de manera relevante la probabilidad de un escenario alternativo caracterizado por mayores presiones inflacionarias y un menor dinamismo de la actividad. En este contexto de elevada incertidumbre, el Grupo de Política Monetaria considera apropiado mantener la Tasa de Política Monetaria en 4,5% en la reunión de marzo, a la espera de contar con mayor evidencia sobre la magnitud y persistencia de los shocks recientes y su impacto efectivo sobre la inflación, las expectativas y la actividad económica.</w:t>
      </w:r>
      <w:r w:rsidR="00525C2B" w:rsidRPr="00607E3F">
        <w:rPr>
          <w:rFonts w:ascii="Times New Roman" w:hAnsi="Times New Roman" w:cs="Times New Roman"/>
          <w:lang w:val="es-CL"/>
        </w:rPr>
        <w:t xml:space="preserve"> </w:t>
      </w:r>
    </w:p>
    <w:p w14:paraId="7450561B" w14:textId="77777777" w:rsidR="00280B02" w:rsidRPr="00607E3F" w:rsidRDefault="00280B02" w:rsidP="000F311F">
      <w:pPr>
        <w:jc w:val="both"/>
        <w:rPr>
          <w:rFonts w:ascii="Times New Roman" w:hAnsi="Times New Roman" w:cs="Times New Roman"/>
          <w:lang w:val="es-CL"/>
        </w:rPr>
      </w:pPr>
    </w:p>
    <w:sectPr w:rsidR="00280B02" w:rsidRPr="00607E3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902790579">
    <w:abstractNumId w:val="8"/>
  </w:num>
  <w:num w:numId="2" w16cid:durableId="457381534">
    <w:abstractNumId w:val="6"/>
  </w:num>
  <w:num w:numId="3" w16cid:durableId="1643845598">
    <w:abstractNumId w:val="5"/>
  </w:num>
  <w:num w:numId="4" w16cid:durableId="1625110893">
    <w:abstractNumId w:val="4"/>
  </w:num>
  <w:num w:numId="5" w16cid:durableId="1783498138">
    <w:abstractNumId w:val="7"/>
  </w:num>
  <w:num w:numId="6" w16cid:durableId="1673602486">
    <w:abstractNumId w:val="3"/>
  </w:num>
  <w:num w:numId="7" w16cid:durableId="884373200">
    <w:abstractNumId w:val="2"/>
  </w:num>
  <w:num w:numId="8" w16cid:durableId="113717349">
    <w:abstractNumId w:val="1"/>
  </w:num>
  <w:num w:numId="9" w16cid:durableId="682362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952"/>
    <w:rsid w:val="00034616"/>
    <w:rsid w:val="000426F4"/>
    <w:rsid w:val="00054820"/>
    <w:rsid w:val="0006063C"/>
    <w:rsid w:val="000723A8"/>
    <w:rsid w:val="000810AC"/>
    <w:rsid w:val="000937EE"/>
    <w:rsid w:val="00095BC4"/>
    <w:rsid w:val="000E2385"/>
    <w:rsid w:val="000F311F"/>
    <w:rsid w:val="000F3E1E"/>
    <w:rsid w:val="00114F35"/>
    <w:rsid w:val="00124BD8"/>
    <w:rsid w:val="0014129C"/>
    <w:rsid w:val="00141684"/>
    <w:rsid w:val="0015074B"/>
    <w:rsid w:val="00171765"/>
    <w:rsid w:val="00173440"/>
    <w:rsid w:val="001944BC"/>
    <w:rsid w:val="001A1217"/>
    <w:rsid w:val="001A7B0D"/>
    <w:rsid w:val="001B0005"/>
    <w:rsid w:val="001B3E46"/>
    <w:rsid w:val="001C208A"/>
    <w:rsid w:val="001C23D5"/>
    <w:rsid w:val="001E19B6"/>
    <w:rsid w:val="001E2E60"/>
    <w:rsid w:val="001E6BC7"/>
    <w:rsid w:val="00201204"/>
    <w:rsid w:val="00201F59"/>
    <w:rsid w:val="00202B56"/>
    <w:rsid w:val="0022397C"/>
    <w:rsid w:val="00232082"/>
    <w:rsid w:val="0024074B"/>
    <w:rsid w:val="00247DA7"/>
    <w:rsid w:val="00280B02"/>
    <w:rsid w:val="0029639D"/>
    <w:rsid w:val="00296710"/>
    <w:rsid w:val="002A3DB7"/>
    <w:rsid w:val="002A64D8"/>
    <w:rsid w:val="002A7B97"/>
    <w:rsid w:val="002B326A"/>
    <w:rsid w:val="002C492B"/>
    <w:rsid w:val="002D00A7"/>
    <w:rsid w:val="002D1F40"/>
    <w:rsid w:val="002D7114"/>
    <w:rsid w:val="002F1BE6"/>
    <w:rsid w:val="002F78E3"/>
    <w:rsid w:val="003040A3"/>
    <w:rsid w:val="00311B16"/>
    <w:rsid w:val="00322744"/>
    <w:rsid w:val="00326CB4"/>
    <w:rsid w:val="00326F90"/>
    <w:rsid w:val="00350428"/>
    <w:rsid w:val="0036045E"/>
    <w:rsid w:val="00375E3F"/>
    <w:rsid w:val="003800E3"/>
    <w:rsid w:val="00384CE5"/>
    <w:rsid w:val="003B7F61"/>
    <w:rsid w:val="003E4A0A"/>
    <w:rsid w:val="003F0527"/>
    <w:rsid w:val="003F77E3"/>
    <w:rsid w:val="003F7A29"/>
    <w:rsid w:val="00402F5B"/>
    <w:rsid w:val="0043408C"/>
    <w:rsid w:val="0043579E"/>
    <w:rsid w:val="00445316"/>
    <w:rsid w:val="00447B71"/>
    <w:rsid w:val="00450B36"/>
    <w:rsid w:val="00475065"/>
    <w:rsid w:val="004936E9"/>
    <w:rsid w:val="004D5ADB"/>
    <w:rsid w:val="004F0179"/>
    <w:rsid w:val="00512B1D"/>
    <w:rsid w:val="00525C2B"/>
    <w:rsid w:val="00530C00"/>
    <w:rsid w:val="0055273B"/>
    <w:rsid w:val="00566190"/>
    <w:rsid w:val="005665CF"/>
    <w:rsid w:val="0057047D"/>
    <w:rsid w:val="0057337A"/>
    <w:rsid w:val="00575ADD"/>
    <w:rsid w:val="00591707"/>
    <w:rsid w:val="00595E64"/>
    <w:rsid w:val="005B1C63"/>
    <w:rsid w:val="005B7E10"/>
    <w:rsid w:val="005C6C94"/>
    <w:rsid w:val="005D55A7"/>
    <w:rsid w:val="005D7C41"/>
    <w:rsid w:val="006062C3"/>
    <w:rsid w:val="00607E3F"/>
    <w:rsid w:val="0062051E"/>
    <w:rsid w:val="00630380"/>
    <w:rsid w:val="006335AF"/>
    <w:rsid w:val="00635BE1"/>
    <w:rsid w:val="00682B7E"/>
    <w:rsid w:val="006B5503"/>
    <w:rsid w:val="006B6E15"/>
    <w:rsid w:val="006D35CA"/>
    <w:rsid w:val="006E495F"/>
    <w:rsid w:val="006F2258"/>
    <w:rsid w:val="007162CC"/>
    <w:rsid w:val="0071737C"/>
    <w:rsid w:val="00721344"/>
    <w:rsid w:val="00721768"/>
    <w:rsid w:val="00725795"/>
    <w:rsid w:val="0072776D"/>
    <w:rsid w:val="00730E7A"/>
    <w:rsid w:val="00745991"/>
    <w:rsid w:val="00751E71"/>
    <w:rsid w:val="00771E3C"/>
    <w:rsid w:val="007869AF"/>
    <w:rsid w:val="007E3202"/>
    <w:rsid w:val="008043F6"/>
    <w:rsid w:val="008214B2"/>
    <w:rsid w:val="00832154"/>
    <w:rsid w:val="00832319"/>
    <w:rsid w:val="00841FBB"/>
    <w:rsid w:val="00865B8F"/>
    <w:rsid w:val="0088090A"/>
    <w:rsid w:val="00883B8D"/>
    <w:rsid w:val="008A6427"/>
    <w:rsid w:val="008B25C0"/>
    <w:rsid w:val="008B3545"/>
    <w:rsid w:val="008D2B0E"/>
    <w:rsid w:val="008F1BDA"/>
    <w:rsid w:val="00920864"/>
    <w:rsid w:val="00925F88"/>
    <w:rsid w:val="00951F90"/>
    <w:rsid w:val="00957D48"/>
    <w:rsid w:val="00966EE0"/>
    <w:rsid w:val="009A7475"/>
    <w:rsid w:val="009D0039"/>
    <w:rsid w:val="009F4736"/>
    <w:rsid w:val="00A42B8B"/>
    <w:rsid w:val="00A47B80"/>
    <w:rsid w:val="00A57C32"/>
    <w:rsid w:val="00A70BE6"/>
    <w:rsid w:val="00A85633"/>
    <w:rsid w:val="00A85C83"/>
    <w:rsid w:val="00AA1D8D"/>
    <w:rsid w:val="00AB4DCC"/>
    <w:rsid w:val="00AC72F7"/>
    <w:rsid w:val="00AD7058"/>
    <w:rsid w:val="00AF0C31"/>
    <w:rsid w:val="00B064DE"/>
    <w:rsid w:val="00B1326E"/>
    <w:rsid w:val="00B2010E"/>
    <w:rsid w:val="00B34C84"/>
    <w:rsid w:val="00B36521"/>
    <w:rsid w:val="00B47730"/>
    <w:rsid w:val="00B50ED7"/>
    <w:rsid w:val="00B80D65"/>
    <w:rsid w:val="00B82237"/>
    <w:rsid w:val="00BA0247"/>
    <w:rsid w:val="00BB18A7"/>
    <w:rsid w:val="00BF0FC1"/>
    <w:rsid w:val="00C23B26"/>
    <w:rsid w:val="00C36536"/>
    <w:rsid w:val="00C471B5"/>
    <w:rsid w:val="00C6152F"/>
    <w:rsid w:val="00C63309"/>
    <w:rsid w:val="00C66D22"/>
    <w:rsid w:val="00C73879"/>
    <w:rsid w:val="00C77912"/>
    <w:rsid w:val="00CB0152"/>
    <w:rsid w:val="00CB0664"/>
    <w:rsid w:val="00CC6261"/>
    <w:rsid w:val="00CD006B"/>
    <w:rsid w:val="00CD451A"/>
    <w:rsid w:val="00CD709D"/>
    <w:rsid w:val="00CE506D"/>
    <w:rsid w:val="00D14B19"/>
    <w:rsid w:val="00D40484"/>
    <w:rsid w:val="00D50EDD"/>
    <w:rsid w:val="00D54774"/>
    <w:rsid w:val="00D638F5"/>
    <w:rsid w:val="00D65305"/>
    <w:rsid w:val="00D762B4"/>
    <w:rsid w:val="00D927FC"/>
    <w:rsid w:val="00E1347D"/>
    <w:rsid w:val="00E24E33"/>
    <w:rsid w:val="00E915A1"/>
    <w:rsid w:val="00EB222F"/>
    <w:rsid w:val="00EE791D"/>
    <w:rsid w:val="00EF0D4E"/>
    <w:rsid w:val="00EF46E5"/>
    <w:rsid w:val="00F1338F"/>
    <w:rsid w:val="00F3020E"/>
    <w:rsid w:val="00F52C7C"/>
    <w:rsid w:val="00F87BAA"/>
    <w:rsid w:val="00F94447"/>
    <w:rsid w:val="00FA7B13"/>
    <w:rsid w:val="00FB0DD8"/>
    <w:rsid w:val="00FB4599"/>
    <w:rsid w:val="00FC693F"/>
    <w:rsid w:val="00FD4427"/>
    <w:rsid w:val="00FE067B"/>
    <w:rsid w:val="00FE5C0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D3514B"/>
  <w15:docId w15:val="{CFCA492B-95A9-4810-821D-4D0755AA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n">
    <w:name w:val="Revision"/>
    <w:hidden/>
    <w:uiPriority w:val="99"/>
    <w:semiHidden/>
    <w:rsid w:val="00BB18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8F53-063C-4995-9567-A80A4771D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1210</Words>
  <Characters>6658</Characters>
  <Application>Microsoft Office Word</Application>
  <DocSecurity>0</DocSecurity>
  <Lines>55</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www.intercambiosvirtuales.org</Company>
  <LinksUpToDate>false</LinksUpToDate>
  <CharactersWithSpaces>7853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Andrea Tokman Ramos</cp:lastModifiedBy>
  <cp:revision>21</cp:revision>
  <dcterms:created xsi:type="dcterms:W3CDTF">2026-03-23T12:18:00Z</dcterms:created>
  <dcterms:modified xsi:type="dcterms:W3CDTF">2026-03-23T12:37:00Z</dcterms:modified>
</cp:coreProperties>
</file>