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7AF7" w14:textId="77777777" w:rsidR="002912A6" w:rsidRPr="004E590D" w:rsidRDefault="002912A6" w:rsidP="002912A6">
      <w:pPr>
        <w:pStyle w:val="Ttulo"/>
        <w:ind w:left="-539" w:right="-522"/>
        <w:jc w:val="center"/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  <w:lang w:val="es-ES_tradnl"/>
        </w:rPr>
      </w:pPr>
      <w:r w:rsidRPr="004148CF"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</w:rPr>
        <w:t>GRUPO DE POLÍTICA MONETARIA</w:t>
      </w:r>
    </w:p>
    <w:p w14:paraId="0535417B" w14:textId="64976D0A" w:rsidR="002912A6" w:rsidRPr="004148CF" w:rsidRDefault="002912A6" w:rsidP="002912A6">
      <w:pPr>
        <w:pStyle w:val="Ttulo"/>
        <w:ind w:left="-539" w:right="-522"/>
        <w:jc w:val="center"/>
        <w:rPr>
          <w:rFonts w:ascii="Times New Roman" w:hAnsi="Times New Roman" w:cs="Times New Roman"/>
          <w:b/>
          <w:bCs/>
          <w:color w:val="808080"/>
          <w:sz w:val="32"/>
          <w:szCs w:val="32"/>
        </w:rPr>
      </w:pPr>
      <w:r w:rsidRPr="004148CF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Comunicado 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Lunes</w:t>
      </w:r>
      <w:r w:rsidRPr="004148CF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27</w:t>
      </w:r>
      <w:r w:rsidRPr="004148CF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 de </w:t>
      </w:r>
      <w:proofErr w:type="gramStart"/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Abril</w:t>
      </w:r>
      <w:proofErr w:type="gramEnd"/>
      <w:r w:rsidRPr="004148CF">
        <w:rPr>
          <w:rFonts w:ascii="Times New Roman" w:hAnsi="Times New Roman" w:cs="Times New Roman"/>
          <w:b/>
          <w:bCs/>
          <w:color w:val="808080"/>
          <w:sz w:val="32"/>
          <w:szCs w:val="32"/>
        </w:rPr>
        <w:t xml:space="preserve"> de 202</w:t>
      </w:r>
      <w:r>
        <w:rPr>
          <w:rFonts w:ascii="Times New Roman" w:hAnsi="Times New Roman" w:cs="Times New Roman"/>
          <w:b/>
          <w:bCs/>
          <w:color w:val="808080"/>
          <w:sz w:val="32"/>
          <w:szCs w:val="32"/>
        </w:rPr>
        <w:t>6</w:t>
      </w:r>
    </w:p>
    <w:p w14:paraId="671DC6CD" w14:textId="64CBF232" w:rsidR="002912A6" w:rsidRPr="00A83975" w:rsidRDefault="002912A6" w:rsidP="002912A6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C608C5F" wp14:editId="1EF619EA">
            <wp:simplePos x="0" y="0"/>
            <wp:positionH relativeFrom="column">
              <wp:posOffset>-253993</wp:posOffset>
            </wp:positionH>
            <wp:positionV relativeFrom="paragraph">
              <wp:posOffset>280670</wp:posOffset>
            </wp:positionV>
            <wp:extent cx="65151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537" y="21402"/>
                <wp:lineTo x="21537" y="0"/>
                <wp:lineTo x="0" y="0"/>
              </wp:wrapPolygon>
            </wp:wrapTight>
            <wp:docPr id="1" name="Imagen 1" descr="Descripción: Descripción: bannersin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bannersin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___________________________________________________________</w:t>
      </w:r>
      <w:r>
        <w:br/>
      </w:r>
      <w:r>
        <w:rPr>
          <w:rFonts w:ascii="Times New Roman" w:hAnsi="Times New Roman" w:cs="Times New Roman"/>
          <w:b/>
        </w:rPr>
        <w:t>EUGENIA ANDREASEN, CARLOS BUDNEVICH</w:t>
      </w:r>
      <w:r w:rsidRPr="00556D2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HUMBERTO MART</w:t>
      </w:r>
      <w:r w:rsidR="00303F25">
        <w:rPr>
          <w:rFonts w:ascii="Times New Roman" w:hAnsi="Times New Roman" w:cs="Times New Roman"/>
          <w:b/>
          <w:lang w:val="es-ES_tradnl"/>
        </w:rPr>
        <w:t>Í</w:t>
      </w:r>
      <w:r>
        <w:rPr>
          <w:rFonts w:ascii="Times New Roman" w:hAnsi="Times New Roman" w:cs="Times New Roman"/>
          <w:b/>
        </w:rPr>
        <w:t>NEZ,</w:t>
      </w:r>
      <w:r w:rsidRPr="00556D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JUAN PABLO MEDINA Y</w:t>
      </w:r>
      <w:r w:rsidRPr="000431AB">
        <w:t xml:space="preserve"> </w:t>
      </w:r>
      <w:r w:rsidRPr="000431AB">
        <w:rPr>
          <w:rFonts w:ascii="Times New Roman" w:hAnsi="Times New Roman" w:cs="Times New Roman"/>
          <w:b/>
        </w:rPr>
        <w:t>ANDREA TOKMAN</w:t>
      </w:r>
      <w:r w:rsidRPr="00556D25">
        <w:rPr>
          <w:rFonts w:ascii="Times New Roman" w:hAnsi="Times New Roman" w:cs="Times New Roman"/>
          <w:b/>
        </w:rPr>
        <w:t xml:space="preserve"> </w:t>
      </w:r>
    </w:p>
    <w:p w14:paraId="019C3C26" w14:textId="252810B4" w:rsidR="002912A6" w:rsidRPr="002912A6" w:rsidRDefault="002912A6" w:rsidP="002912A6">
      <w:pPr>
        <w:pStyle w:val="NormalWeb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912A6">
        <w:rPr>
          <w:rFonts w:ascii="Calibri" w:eastAsia="Calibri" w:hAnsi="Calibri" w:cs="Calibri"/>
          <w:b/>
          <w:bCs/>
          <w:sz w:val="22"/>
          <w:szCs w:val="22"/>
        </w:rPr>
        <w:t xml:space="preserve">El escenario económico global sigue marcado por el conflicto en Medio Oriente. Aunque la tregua entre Estados Unidos e Irán moderó parte del shock inicial, los precios energéticos permanecen por sobre sus niveles previos y sugieren un encarecimiento del petróleo más persistente de lo anticipado. Esto ha </w:t>
      </w:r>
      <w:r w:rsidR="000832E0">
        <w:rPr>
          <w:rFonts w:ascii="Calibri" w:eastAsia="Calibri" w:hAnsi="Calibri" w:cs="Calibri"/>
          <w:b/>
          <w:bCs/>
          <w:sz w:val="22"/>
          <w:szCs w:val="22"/>
        </w:rPr>
        <w:t>presionado al alza la</w:t>
      </w:r>
      <w:r w:rsidRPr="002912A6">
        <w:rPr>
          <w:rFonts w:ascii="Calibri" w:eastAsia="Calibri" w:hAnsi="Calibri" w:cs="Calibri"/>
          <w:b/>
          <w:bCs/>
          <w:sz w:val="22"/>
          <w:szCs w:val="22"/>
        </w:rPr>
        <w:t xml:space="preserve"> inflación en las principales economías y reducido el espacio para nuevos recortes de tasa. En Chile, el IPC de marzo sorprendió al alza y en abril se espera un mayor traspaso del aumento en los combustibles, mientras la actividad ha mostrado señales de debilidad y las proyecciones de crecimiento para 2026 se corrigieron a la baja. En este contexto, el Grupo de Política Monetaria (GPM) recomienda mantener la Tasa de Política Monetaria (TPM) en 4,5% en la reunión de abril, a la espera de mayor claridad sobre la persistencia de estos shocks y sus efectos sobre la inflación y la actividad.</w:t>
      </w:r>
    </w:p>
    <w:p w14:paraId="5A1BE724" w14:textId="4CBBF2EB" w:rsidR="00E97EDA" w:rsidRDefault="003C6B9B" w:rsidP="00304E9B">
      <w:pPr>
        <w:spacing w:after="200" w:line="276" w:lineRule="auto"/>
        <w:jc w:val="both"/>
      </w:pPr>
      <w:r>
        <w:t xml:space="preserve">El Informe de Perspectivas Económicas Mundiales del Fondo Monetario Internacional de abril sintetiza el cambio en el escenario externo. </w:t>
      </w:r>
      <w:r w:rsidR="002C666E" w:rsidRPr="002C666E">
        <w:rPr>
          <w:rStyle w:val="Fuerte"/>
          <w:b w:val="0"/>
          <w:bCs w:val="0"/>
        </w:rPr>
        <w:t>Con un conflicto cuya duración aún es incierta y un daño a la infraestructura de combustibles que podría tener efectos más allá del cese de hostilidades</w:t>
      </w:r>
      <w:r w:rsidR="002C666E" w:rsidRPr="002C666E">
        <w:rPr>
          <w:b/>
          <w:bCs/>
        </w:rPr>
        <w:t>,</w:t>
      </w:r>
      <w:r w:rsidR="002C666E">
        <w:t xml:space="preserve"> l</w:t>
      </w:r>
      <w:r>
        <w:t>a proyección de crecimiento mundial para 2026 se revisó desde 3,3% en la actualización de enero a 3,1%, y la inflación general global se corrigió al alza hasta 4,4%. El organismo señaló que, en ausencia de la guerra, el crecimiento global habría sido revisado al alza hasta 3,4%, de modo que el ajuste negativo refleja esencialmente el impacto del conflicto</w:t>
      </w:r>
      <w:r>
        <w:t xml:space="preserve">. </w:t>
      </w:r>
    </w:p>
    <w:p w14:paraId="4769E1A4" w14:textId="7DEE7E2D" w:rsidR="00891F14" w:rsidRDefault="00304E9B" w:rsidP="00891F14">
      <w:pPr>
        <w:spacing w:after="200" w:line="276" w:lineRule="auto"/>
        <w:jc w:val="both"/>
      </w:pPr>
      <w:r>
        <w:t>En línea con esta revisión, los principales bancos centrales han optado por la cautela</w:t>
      </w:r>
      <w:r w:rsidR="00891F14">
        <w:t xml:space="preserve"> en el contexto de mayores presiones inflacionarias</w:t>
      </w:r>
      <w:r>
        <w:t xml:space="preserve">. </w:t>
      </w:r>
      <w:r w:rsidR="00891F14">
        <w:t xml:space="preserve">En </w:t>
      </w:r>
      <w:proofErr w:type="gramStart"/>
      <w:r w:rsidR="00891F14">
        <w:t>EE.UU.</w:t>
      </w:r>
      <w:proofErr w:type="gramEnd"/>
      <w:r w:rsidR="00891F14" w:rsidRPr="00891F14">
        <w:t xml:space="preserve"> </w:t>
      </w:r>
      <w:r w:rsidR="00891F14">
        <w:t xml:space="preserve">el IPC de marzo se aceleró a 3,3% anual desde 2,4% en febrero, impulsado por un alza mensual de 0,9% fuertemente incidida por la energía, mientras el mercado laboral presentó una moderación gradual, con 178 mil nuevos puestos y una tasa de desempleo de 4,3% en marzo. En este contexto, la Reserva Federal mantuvo el rango de la tasa de fondos federales en 3,50%-3,75% en su reunión de marzo. En Europa, el BCE también mantuvo sus tasas en marzo y revisó sus proyecciones de inflación al alza hasta 2,6% para 2026, tras un dato de marzo que se aceleró a 2,6% anual desde 1,9% en febrero. </w:t>
      </w:r>
    </w:p>
    <w:p w14:paraId="1509AD20" w14:textId="77777777" w:rsidR="00625FE8" w:rsidRDefault="00FD3DB3" w:rsidP="004820E4">
      <w:pPr>
        <w:spacing w:after="200" w:line="276" w:lineRule="auto"/>
        <w:jc w:val="both"/>
      </w:pPr>
      <w:r w:rsidRPr="00FD3DB3">
        <w:t xml:space="preserve">Los precios de </w:t>
      </w:r>
      <w:r w:rsidR="00FE73A9">
        <w:t>las</w:t>
      </w:r>
      <w:r w:rsidR="00B17859">
        <w:t xml:space="preserve"> materias primas</w:t>
      </w:r>
      <w:r w:rsidRPr="00FD3DB3">
        <w:t xml:space="preserve"> reflejan estos desarrollos. El Brent alcanzó transitoriamente niveles cercanos a 119 dólares por barril durante marzo, y aunque la tregua permitió una corrección inicial hasta niveles en torno a 95 dólares, las tensiones recientes en el estrecho de Ormuz y las fricciones en la implementación del cese al fuego han vuelto a impulsar el precio al alza, cerrando la semana pasada </w:t>
      </w:r>
      <w:r w:rsidR="000832E0">
        <w:t xml:space="preserve">en </w:t>
      </w:r>
      <w:r w:rsidR="000832E0">
        <w:lastRenderedPageBreak/>
        <w:t>torno a</w:t>
      </w:r>
      <w:r w:rsidRPr="00FD3DB3">
        <w:t xml:space="preserve"> 10</w:t>
      </w:r>
      <w:r w:rsidR="00B17859">
        <w:t>6</w:t>
      </w:r>
      <w:r w:rsidRPr="00FD3DB3">
        <w:t xml:space="preserve"> dólares por barril</w:t>
      </w:r>
      <w:r>
        <w:t xml:space="preserve">. </w:t>
      </w:r>
      <w:r w:rsidR="00B17859" w:rsidRPr="00B17859">
        <w:rPr>
          <w:lang w:val="es-ES"/>
        </w:rPr>
        <w:t>Luego del comienzo de la guerra el cobre cayó hasta 5,37 dólares la libra hacia fines de marzo y luego rebotó hasta llegar a niveles de 6 dólares la libra recientemente</w:t>
      </w:r>
      <w:r w:rsidR="004820E4" w:rsidRPr="004820E4">
        <w:t xml:space="preserve">. </w:t>
      </w:r>
    </w:p>
    <w:p w14:paraId="600708FF" w14:textId="45611193" w:rsidR="004820E4" w:rsidRDefault="007E7F45" w:rsidP="004820E4">
      <w:pPr>
        <w:spacing w:after="200" w:line="276" w:lineRule="auto"/>
        <w:jc w:val="both"/>
      </w:pPr>
      <w:r>
        <w:t xml:space="preserve">La incertidumbre en torno al desarrollo del conflicto llevó al VIX a superar los 30 puntos durante marzo, para corregir en las semanas recientes hacia valores </w:t>
      </w:r>
      <w:r w:rsidR="00C42F6F">
        <w:t xml:space="preserve">por debajo de </w:t>
      </w:r>
      <w:r>
        <w:t>20 puntos tras la tregua. En paralelo, las tasas largas han sufrido presiones al alza</w:t>
      </w:r>
      <w:r w:rsidR="00C42F6F">
        <w:t xml:space="preserve">, por ejemplo, las tasas de los bonos del Tesoro de </w:t>
      </w:r>
      <w:proofErr w:type="gramStart"/>
      <w:r w:rsidR="00A94706">
        <w:t>EE.UU.</w:t>
      </w:r>
      <w:proofErr w:type="gramEnd"/>
      <w:r w:rsidR="00C42F6F">
        <w:t xml:space="preserve"> a 10 años subieron desde 3,96% a fines de pasado hasta 4,31% recientemente</w:t>
      </w:r>
      <w:r w:rsidR="00FE73A9">
        <w:t xml:space="preserve">. </w:t>
      </w:r>
      <w:r w:rsidR="00A67291">
        <w:t xml:space="preserve">A su vez, </w:t>
      </w:r>
      <w:r w:rsidR="00FE73A9">
        <w:t>el dólar</w:t>
      </w:r>
      <w:r>
        <w:t xml:space="preserve"> se ha apreciado a nivel multilateral</w:t>
      </w:r>
      <w:r w:rsidR="004820E4" w:rsidRPr="004820E4">
        <w:t>. El tipo de cambio local recogió parcialmente este deterioro del escenario externo: tras haberse apreciado hasta niveles cercanos a $858 por dólar hacia fines de febrero, el peso se depreció de forma significativa con el inicio del conflicto</w:t>
      </w:r>
      <w:r w:rsidR="00C42F6F">
        <w:t xml:space="preserve"> llegando a valores de $932 a fines de marzo</w:t>
      </w:r>
      <w:r w:rsidR="004820E4" w:rsidRPr="004820E4">
        <w:t xml:space="preserve">, para </w:t>
      </w:r>
      <w:r w:rsidR="00C42F6F">
        <w:t xml:space="preserve">situarse </w:t>
      </w:r>
      <w:r w:rsidR="004820E4" w:rsidRPr="004820E4">
        <w:t>en torno a $89</w:t>
      </w:r>
      <w:r w:rsidR="00C42F6F">
        <w:t xml:space="preserve">5 </w:t>
      </w:r>
      <w:r w:rsidR="004820E4" w:rsidRPr="004820E4">
        <w:t>reciente</w:t>
      </w:r>
      <w:r w:rsidR="00C42F6F">
        <w:t>mente</w:t>
      </w:r>
      <w:r w:rsidR="004820E4" w:rsidRPr="004820E4">
        <w:t>.</w:t>
      </w:r>
    </w:p>
    <w:p w14:paraId="1E448000" w14:textId="74501445" w:rsidR="00B96C0F" w:rsidRPr="00691110" w:rsidRDefault="00B96C0F" w:rsidP="00B96C0F">
      <w:pPr>
        <w:spacing w:after="200" w:line="276" w:lineRule="auto"/>
        <w:jc w:val="both"/>
      </w:pPr>
      <w:r w:rsidRPr="00B96C0F">
        <w:t xml:space="preserve">En el plano local, </w:t>
      </w:r>
      <w:r w:rsidR="007E7F45">
        <w:t>la actividad ha mostrado señales de debilitamiento y las perspectivas de crecimiento para 2026 se corrigieron a la baja</w:t>
      </w:r>
      <w:r w:rsidRPr="00B96C0F">
        <w:t xml:space="preserve">. El </w:t>
      </w:r>
      <w:proofErr w:type="spellStart"/>
      <w:r w:rsidRPr="00B96C0F">
        <w:t>Imacec</w:t>
      </w:r>
      <w:proofErr w:type="spellEnd"/>
      <w:r w:rsidRPr="00B96C0F">
        <w:t xml:space="preserve"> de febrero anotó una contracción interanual de 0,3%, encadenando dos meses consecutivos de crecimiento anual negativo tras la caída de </w:t>
      </w:r>
      <w:r w:rsidR="009A1567">
        <w:t>0,</w:t>
      </w:r>
      <w:r w:rsidR="00B17859">
        <w:t>5</w:t>
      </w:r>
      <w:r w:rsidRPr="00B96C0F">
        <w:t>% en enero</w:t>
      </w:r>
      <w:r w:rsidR="002C666E">
        <w:t>.</w:t>
      </w:r>
      <w:r w:rsidR="002C666E" w:rsidRPr="002C666E">
        <w:rPr>
          <w:b/>
          <w:bCs/>
        </w:rPr>
        <w:t xml:space="preserve"> </w:t>
      </w:r>
      <w:r w:rsidR="002C666E" w:rsidRPr="002C666E">
        <w:t>En términos desestacionalizados, también retrocedió 0,3% respecto del mes previo, confirmando la pérdida de dinamismo</w:t>
      </w:r>
      <w:r w:rsidRPr="00B96C0F">
        <w:t xml:space="preserve">. </w:t>
      </w:r>
      <w:r w:rsidR="00DA09CC">
        <w:t xml:space="preserve">La debilidad se concentró en la producción de bienes, que retrocedió 3,7% anual, a pesar de un crecimiento del 1,0% de la </w:t>
      </w:r>
      <w:proofErr w:type="spellStart"/>
      <w:r w:rsidR="00DA09CC">
        <w:t>miner</w:t>
      </w:r>
      <w:r w:rsidR="00DA09CC">
        <w:rPr>
          <w:lang w:val="es-ES_tradnl"/>
        </w:rPr>
        <w:t>ía</w:t>
      </w:r>
      <w:proofErr w:type="spellEnd"/>
      <w:r w:rsidR="00DA09CC">
        <w:rPr>
          <w:lang w:val="es-ES_tradnl"/>
        </w:rPr>
        <w:t xml:space="preserve">, </w:t>
      </w:r>
      <w:r w:rsidR="00DA09CC">
        <w:t xml:space="preserve">mientras los servicios crecieron 1,6%. </w:t>
      </w:r>
      <w:r w:rsidRPr="00B96C0F">
        <w:t xml:space="preserve">Mirando hacia adelante, el Banco Central recortó la proyección de crecimiento para 2026 a un rango de 1,5%-2,5% en el </w:t>
      </w:r>
      <w:proofErr w:type="spellStart"/>
      <w:r w:rsidRPr="00B96C0F">
        <w:t>IPoM</w:t>
      </w:r>
      <w:proofErr w:type="spellEnd"/>
      <w:r w:rsidRPr="00B96C0F">
        <w:t xml:space="preserve"> de marzo —desde el 2,0%-3,0% previsto en diciembre—, incorporando </w:t>
      </w:r>
      <w:r w:rsidRPr="00DA09CC">
        <w:t>el impacto del nuevo escenario internacional, el ajuste fiscal anunciado en marzo, un desempeño minero más acotado, y una moderación del gasto de hogares y empresas que se refleja en correcciones a la baja del consumo privado y la inversión</w:t>
      </w:r>
      <w:r w:rsidR="00FE73A9">
        <w:t>. Esta moderación obedece a un mercado laboral que continúa estancado y a expectativas de los hogares para el consumo que, si bien venían mejorando en los últimos meses de 2025, se han deteriorado parcialmente en lo reciente por el shock a los precios del combustible</w:t>
      </w:r>
      <w:r w:rsidRPr="00DA09CC">
        <w:t>.</w:t>
      </w:r>
      <w:r w:rsidRPr="00B96C0F">
        <w:t xml:space="preserve"> </w:t>
      </w:r>
      <w:r w:rsidR="00691110" w:rsidRPr="00691110">
        <w:t xml:space="preserve">La tasa de desempleo se mantuvo en 8,3% en el trimestre diciembre-febrero, reflejando holguras que se arrastran desde hace varios trimestres. En este contexto, </w:t>
      </w:r>
      <w:r w:rsidR="00FE73A9">
        <w:t xml:space="preserve">la tasa de variación de </w:t>
      </w:r>
      <w:r w:rsidR="00691110" w:rsidRPr="00691110">
        <w:t xml:space="preserve">los salarios nominales se ha moderado a 5,1% anual en febrero, mientras los salarios reales acumulan </w:t>
      </w:r>
      <w:r w:rsidR="00FE73A9">
        <w:t xml:space="preserve">un alza de </w:t>
      </w:r>
      <w:r w:rsidR="00691110" w:rsidRPr="00691110">
        <w:t>apenas 0,4% en lo que va del año, contribuyendo a contener las presiones de costos laborales sobre los precios.</w:t>
      </w:r>
    </w:p>
    <w:p w14:paraId="098CDFBC" w14:textId="0EBA6524" w:rsidR="00F319AD" w:rsidRDefault="007E7F45" w:rsidP="004820E4">
      <w:pPr>
        <w:spacing w:after="200" w:line="276" w:lineRule="auto"/>
        <w:jc w:val="both"/>
      </w:pPr>
      <w:r w:rsidRPr="007E7F45">
        <w:t xml:space="preserve">La inflación por su parte ya comenzó a recoger parte del shock </w:t>
      </w:r>
      <w:r w:rsidR="002C666E">
        <w:t>a los precios del combustible</w:t>
      </w:r>
      <w:r w:rsidRPr="007E7F45">
        <w:t xml:space="preserve">. El IPC de marzo registró un alza mensual de 1,0%, llevando la inflación anual desde 2,4% en febrero a 2,8%, con incidencias relevantes del transporte —impulsado por un alza de 8,2% en las gasolinas— y la educación. </w:t>
      </w:r>
      <w:r w:rsidR="002912A6">
        <w:t>Esta dinámica interactúa con una modificación relevante del MEPCO: en marzo el Gobierno extendió de tres a cuatro semanas la ventana de cálculo y traspasó íntegramente el diferencial acumulado</w:t>
      </w:r>
      <w:r w:rsidR="009049D6">
        <w:t xml:space="preserve">, </w:t>
      </w:r>
      <w:r w:rsidR="002912A6">
        <w:t xml:space="preserve">con alzas del orden de $370 por litro en gasolinas y $580 en diésel. </w:t>
      </w:r>
      <w:r w:rsidRPr="007E7F45">
        <w:t>Dado que el cambio ocurrió en la última semana del mes</w:t>
      </w:r>
      <w:r w:rsidR="00303F25">
        <w:t xml:space="preserve">, </w:t>
      </w:r>
      <w:r w:rsidRPr="007E7F45">
        <w:t>el traspaso pleno se reflejará con mayor fuerza en abril</w:t>
      </w:r>
      <w:r w:rsidR="00B96657">
        <w:t xml:space="preserve">. </w:t>
      </w:r>
      <w:r w:rsidR="00B96657" w:rsidRPr="00B96657">
        <w:t>Para ese mes, la EOF proyecta una variación mensual de 1,6%</w:t>
      </w:r>
      <w:r w:rsidR="00FE73A9">
        <w:t xml:space="preserve"> </w:t>
      </w:r>
      <w:r w:rsidR="00CE11A1">
        <w:t>(1,4% en la EEE)</w:t>
      </w:r>
      <w:r w:rsidR="00B96657" w:rsidRPr="00B96657">
        <w:t>, lo que llevaría la inflación anual a niveles cercanos al 4%.</w:t>
      </w:r>
      <w:r w:rsidR="00B96657">
        <w:t xml:space="preserve"> </w:t>
      </w:r>
      <w:r w:rsidRPr="007E7F45">
        <w:t xml:space="preserve">El </w:t>
      </w:r>
      <w:proofErr w:type="spellStart"/>
      <w:r w:rsidRPr="007E7F45">
        <w:t>IPoM</w:t>
      </w:r>
      <w:proofErr w:type="spellEnd"/>
      <w:r w:rsidRPr="007E7F45">
        <w:t xml:space="preserve"> de marzo proyecta que la inflación se ubicará en torno a 4% durante el segundo trimestre y cerraría 2026 en niveles similares</w:t>
      </w:r>
      <w:r w:rsidR="00CE11A1">
        <w:t xml:space="preserve"> (4,3% según </w:t>
      </w:r>
      <w:r w:rsidR="00FE73A9">
        <w:t xml:space="preserve">la </w:t>
      </w:r>
      <w:r w:rsidR="00CE11A1">
        <w:t>EEE)</w:t>
      </w:r>
      <w:r w:rsidRPr="007E7F45">
        <w:t>, para converger a la meta de 3% durante el segundo trimestre de 2027</w:t>
      </w:r>
      <w:r>
        <w:t>.</w:t>
      </w:r>
      <w:r w:rsidRPr="007E7F45">
        <w:t xml:space="preserve"> </w:t>
      </w:r>
    </w:p>
    <w:p w14:paraId="37A11645" w14:textId="041092C5" w:rsidR="00F319AD" w:rsidRPr="00A67291" w:rsidRDefault="00C16D55" w:rsidP="00303F25">
      <w:pPr>
        <w:spacing w:after="200" w:line="276" w:lineRule="auto"/>
        <w:jc w:val="both"/>
      </w:pPr>
      <w:r>
        <w:lastRenderedPageBreak/>
        <w:t>Hacia el horizonte de política monetaria</w:t>
      </w:r>
      <w:r w:rsidR="00F319AD" w:rsidRPr="00A67291">
        <w:t>, las expectativas a dos años permanecen ancladas en 3% según la EEE</w:t>
      </w:r>
      <w:r w:rsidR="00A67291" w:rsidRPr="00A67291">
        <w:t>,</w:t>
      </w:r>
      <w:r w:rsidRPr="00A67291">
        <w:t xml:space="preserve"> aunque </w:t>
      </w:r>
      <w:r w:rsidR="00F319AD" w:rsidRPr="00A67291">
        <w:t xml:space="preserve">la EOF las situó levemente sobre la meta, en 3,2%. </w:t>
      </w:r>
      <w:r w:rsidRPr="00A67291">
        <w:t>La</w:t>
      </w:r>
      <w:r w:rsidR="00F319AD" w:rsidRPr="00A67291">
        <w:t xml:space="preserve"> magnitud del shock internacional sobre los precios de los combustibles —cuyo impacto podría extenderse más allá de la reapertura del estrecho debido a la destrucción de infraestructura— y su potencial transmisión a través de los costos de insumos y los mecanismos de indexación obligan a monitorear con atención los efectos de segunda vuelta.</w:t>
      </w:r>
    </w:p>
    <w:p w14:paraId="33B2637E" w14:textId="4B985BD1" w:rsidR="00983212" w:rsidRPr="00303F25" w:rsidRDefault="003C6B9B" w:rsidP="00303F25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 xml:space="preserve">En síntesis, el escenario combina un shock </w:t>
      </w:r>
      <w:r w:rsidR="002C666E">
        <w:rPr>
          <w:b/>
          <w:bCs/>
        </w:rPr>
        <w:t>en el precio de los combusti</w:t>
      </w:r>
      <w:r w:rsidR="00FE73A9">
        <w:rPr>
          <w:b/>
          <w:bCs/>
        </w:rPr>
        <w:t>b</w:t>
      </w:r>
      <w:r w:rsidR="002C666E">
        <w:rPr>
          <w:b/>
          <w:bCs/>
        </w:rPr>
        <w:t>les</w:t>
      </w:r>
      <w:r>
        <w:rPr>
          <w:b/>
          <w:bCs/>
        </w:rPr>
        <w:t xml:space="preserve"> persistente que eleva la inflación de corto plazo y reduce el espacio de política monetaria a nivel global, una actividad local que ha comenzado el año más débil de lo anticipado y una trayectoria de precios internos que </w:t>
      </w:r>
      <w:r w:rsidR="00CE1993">
        <w:rPr>
          <w:b/>
          <w:bCs/>
        </w:rPr>
        <w:t xml:space="preserve">se </w:t>
      </w:r>
      <w:r w:rsidR="00126BCD">
        <w:rPr>
          <w:b/>
          <w:bCs/>
        </w:rPr>
        <w:t>prevé</w:t>
      </w:r>
      <w:r w:rsidR="00CE1993">
        <w:rPr>
          <w:b/>
          <w:bCs/>
        </w:rPr>
        <w:t xml:space="preserve"> que se aleje de la meta al menos transitoriamente en respuesta al shock</w:t>
      </w:r>
      <w:r>
        <w:rPr>
          <w:b/>
          <w:bCs/>
        </w:rPr>
        <w:t>. En este contexto, el GPM recomienda mantener la Tasa de Política Monetaria en 4,5% en la reunión de abril. La trayectoria futura de la TPM requerirá una evaluación cuidadosa, reunión a reunión, del grado de persistencia de los efectos inflacionarios del shock energético y de la evolución de la actividad local.</w:t>
      </w:r>
    </w:p>
    <w:sectPr w:rsidR="00983212" w:rsidRPr="00303F2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717C"/>
    <w:multiLevelType w:val="hybridMultilevel"/>
    <w:tmpl w:val="0A0CCD2E"/>
    <w:lvl w:ilvl="0" w:tplc="D2B87772">
      <w:start w:val="1"/>
      <w:numFmt w:val="bullet"/>
      <w:lvlText w:val="●"/>
      <w:lvlJc w:val="left"/>
      <w:pPr>
        <w:ind w:left="720" w:hanging="360"/>
      </w:pPr>
    </w:lvl>
    <w:lvl w:ilvl="1" w:tplc="E7621BE2">
      <w:start w:val="1"/>
      <w:numFmt w:val="bullet"/>
      <w:lvlText w:val="○"/>
      <w:lvlJc w:val="left"/>
      <w:pPr>
        <w:ind w:left="1440" w:hanging="360"/>
      </w:pPr>
    </w:lvl>
    <w:lvl w:ilvl="2" w:tplc="176CF4EA">
      <w:start w:val="1"/>
      <w:numFmt w:val="bullet"/>
      <w:lvlText w:val="■"/>
      <w:lvlJc w:val="left"/>
      <w:pPr>
        <w:ind w:left="2160" w:hanging="360"/>
      </w:pPr>
    </w:lvl>
    <w:lvl w:ilvl="3" w:tplc="7B200140">
      <w:start w:val="1"/>
      <w:numFmt w:val="bullet"/>
      <w:lvlText w:val="●"/>
      <w:lvlJc w:val="left"/>
      <w:pPr>
        <w:ind w:left="2880" w:hanging="360"/>
      </w:pPr>
    </w:lvl>
    <w:lvl w:ilvl="4" w:tplc="54DAB79C">
      <w:start w:val="1"/>
      <w:numFmt w:val="bullet"/>
      <w:lvlText w:val="○"/>
      <w:lvlJc w:val="left"/>
      <w:pPr>
        <w:ind w:left="3600" w:hanging="360"/>
      </w:pPr>
    </w:lvl>
    <w:lvl w:ilvl="5" w:tplc="6F7E8E62">
      <w:start w:val="1"/>
      <w:numFmt w:val="bullet"/>
      <w:lvlText w:val="■"/>
      <w:lvlJc w:val="left"/>
      <w:pPr>
        <w:ind w:left="4320" w:hanging="360"/>
      </w:pPr>
    </w:lvl>
    <w:lvl w:ilvl="6" w:tplc="B25028C6">
      <w:start w:val="1"/>
      <w:numFmt w:val="bullet"/>
      <w:lvlText w:val="●"/>
      <w:lvlJc w:val="left"/>
      <w:pPr>
        <w:ind w:left="5040" w:hanging="360"/>
      </w:pPr>
    </w:lvl>
    <w:lvl w:ilvl="7" w:tplc="BCDAA582">
      <w:start w:val="1"/>
      <w:numFmt w:val="bullet"/>
      <w:lvlText w:val="●"/>
      <w:lvlJc w:val="left"/>
      <w:pPr>
        <w:ind w:left="5760" w:hanging="360"/>
      </w:pPr>
    </w:lvl>
    <w:lvl w:ilvl="8" w:tplc="02C80004">
      <w:start w:val="1"/>
      <w:numFmt w:val="bullet"/>
      <w:lvlText w:val="●"/>
      <w:lvlJc w:val="left"/>
      <w:pPr>
        <w:ind w:left="6480" w:hanging="360"/>
      </w:pPr>
    </w:lvl>
  </w:abstractNum>
  <w:num w:numId="1" w16cid:durableId="7506615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DA"/>
    <w:rsid w:val="000832E0"/>
    <w:rsid w:val="00126BCD"/>
    <w:rsid w:val="00290875"/>
    <w:rsid w:val="002912A6"/>
    <w:rsid w:val="002C1B03"/>
    <w:rsid w:val="002C666E"/>
    <w:rsid w:val="00303F25"/>
    <w:rsid w:val="00304E9B"/>
    <w:rsid w:val="00304F3B"/>
    <w:rsid w:val="00395B50"/>
    <w:rsid w:val="003B17B7"/>
    <w:rsid w:val="0040730E"/>
    <w:rsid w:val="004237C3"/>
    <w:rsid w:val="004820E4"/>
    <w:rsid w:val="004A7FC6"/>
    <w:rsid w:val="004E78D6"/>
    <w:rsid w:val="00591C96"/>
    <w:rsid w:val="00625FE8"/>
    <w:rsid w:val="00633218"/>
    <w:rsid w:val="00691110"/>
    <w:rsid w:val="00741967"/>
    <w:rsid w:val="0079714B"/>
    <w:rsid w:val="007E7F45"/>
    <w:rsid w:val="00872EBD"/>
    <w:rsid w:val="008739D9"/>
    <w:rsid w:val="00891F14"/>
    <w:rsid w:val="009049D6"/>
    <w:rsid w:val="00975E9A"/>
    <w:rsid w:val="00983212"/>
    <w:rsid w:val="009A1567"/>
    <w:rsid w:val="00A67291"/>
    <w:rsid w:val="00A82EF8"/>
    <w:rsid w:val="00A94706"/>
    <w:rsid w:val="00B17859"/>
    <w:rsid w:val="00B96657"/>
    <w:rsid w:val="00B96C0F"/>
    <w:rsid w:val="00BB37E0"/>
    <w:rsid w:val="00C16D55"/>
    <w:rsid w:val="00C42F6F"/>
    <w:rsid w:val="00C81C32"/>
    <w:rsid w:val="00CE11A1"/>
    <w:rsid w:val="00CE1993"/>
    <w:rsid w:val="00DA09CC"/>
    <w:rsid w:val="00DD166F"/>
    <w:rsid w:val="00E97EDA"/>
    <w:rsid w:val="00EA18C2"/>
    <w:rsid w:val="00EF1A11"/>
    <w:rsid w:val="00F319AD"/>
    <w:rsid w:val="00FB2A94"/>
    <w:rsid w:val="00FD3DB3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4927"/>
  <w15:docId w15:val="{44F215D8-E428-304E-81CC-47D4532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link w:val="TtuloCar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character" w:styleId="Fuerte">
    <w:name w:val="Strong"/>
    <w:basedOn w:val="Fuentedeprrafopredeter"/>
    <w:uiPriority w:val="22"/>
    <w:qFormat/>
    <w:rsid w:val="00CE1993"/>
    <w:rPr>
      <w:b/>
      <w:bCs/>
    </w:rPr>
  </w:style>
  <w:style w:type="paragraph" w:styleId="NormalWeb">
    <w:name w:val="Normal (Web)"/>
    <w:basedOn w:val="Normal"/>
    <w:uiPriority w:val="99"/>
    <w:unhideWhenUsed/>
    <w:rsid w:val="002912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2912A6"/>
    <w:rPr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EF1A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1A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1A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A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1A1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42F6F"/>
  </w:style>
  <w:style w:type="paragraph" w:customStyle="1" w:styleId="font-claude-response-body">
    <w:name w:val="font-claude-response-body"/>
    <w:basedOn w:val="Normal"/>
    <w:rsid w:val="00F319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1211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Carolina Castro Devivo</cp:lastModifiedBy>
  <cp:revision>10</cp:revision>
  <cp:lastPrinted>2026-04-27T14:22:00Z</cp:lastPrinted>
  <dcterms:created xsi:type="dcterms:W3CDTF">2026-04-26T00:17:00Z</dcterms:created>
  <dcterms:modified xsi:type="dcterms:W3CDTF">2026-04-27T14:22:00Z</dcterms:modified>
</cp:coreProperties>
</file>